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after="0"/>
        <w:rPr>
          <w:rFonts w:hint="eastAsia" w:ascii="Arial" w:hAnsi="Arial" w:eastAsia="宋体" w:cs="Arial"/>
          <w:sz w:val="22"/>
          <w:lang w:val="en-US" w:eastAsia="zh-CN"/>
        </w:rPr>
      </w:pPr>
      <w:r>
        <w:rPr>
          <w:rFonts w:ascii="Arial" w:hAnsi="Arial" w:cs="Arial"/>
          <w:sz w:val="22"/>
          <w:lang w:val="en-US"/>
        </w:rPr>
        <w:t>3GPP TSG-RAN WG2 Meeting #12</w:t>
      </w:r>
      <w:r>
        <w:rPr>
          <w:rFonts w:hint="eastAsia" w:ascii="Arial" w:hAnsi="Arial" w:eastAsia="宋体" w:cs="Arial"/>
          <w:sz w:val="22"/>
          <w:lang w:val="en-US" w:eastAsia="zh-CN"/>
        </w:rPr>
        <w:t>4</w:t>
      </w:r>
      <w:r>
        <w:rPr>
          <w:rFonts w:ascii="Arial" w:hAnsi="Arial" w:cs="Arial"/>
          <w:sz w:val="22"/>
          <w:lang w:val="en-US"/>
        </w:rPr>
        <w:tab/>
      </w:r>
      <w:r>
        <w:rPr>
          <w:rFonts w:ascii="Arial" w:hAnsi="Arial" w:cs="Arial"/>
          <w:sz w:val="22"/>
          <w:lang w:val="en-US"/>
        </w:rPr>
        <w:t>R2</w:t>
      </w:r>
      <w:r>
        <w:rPr>
          <w:rFonts w:hint="eastAsia" w:ascii="Arial" w:hAnsi="Arial" w:eastAsia="宋体" w:cs="Arial"/>
          <w:sz w:val="22"/>
          <w:lang w:val="en-US" w:eastAsia="zh-CN"/>
        </w:rPr>
        <w:t>-2313286</w:t>
      </w:r>
    </w:p>
    <w:p>
      <w:pPr>
        <w:pStyle w:val="48"/>
        <w:spacing w:after="0"/>
        <w:rPr>
          <w:rFonts w:hint="default" w:ascii="Arial" w:hAnsi="Arial" w:eastAsia="宋体" w:cs="Arial"/>
          <w:sz w:val="22"/>
          <w:lang w:val="en-US" w:eastAsia="zh-CN"/>
        </w:rPr>
      </w:pPr>
    </w:p>
    <w:p>
      <w:pPr>
        <w:pStyle w:val="48"/>
        <w:spacing w:after="0"/>
        <w:rPr>
          <w:rFonts w:ascii="Arial" w:hAnsi="Arial" w:cs="Arial"/>
          <w:b w:val="0"/>
          <w:sz w:val="22"/>
          <w:lang w:val="en-US"/>
        </w:rPr>
      </w:pPr>
      <w:r>
        <w:rPr>
          <w:rFonts w:hint="eastAsia" w:ascii="Arial" w:hAnsi="Arial" w:eastAsia="宋体" w:cs="Arial"/>
          <w:sz w:val="22"/>
          <w:lang w:val="en-US" w:eastAsia="zh-CN"/>
        </w:rPr>
        <w:t>Chicago</w:t>
      </w:r>
      <w:r>
        <w:rPr>
          <w:rFonts w:ascii="Arial" w:hAnsi="Arial" w:cs="Arial"/>
          <w:sz w:val="22"/>
          <w:lang w:val="en-US"/>
        </w:rPr>
        <w:t xml:space="preserve">, </w:t>
      </w:r>
      <w:r>
        <w:rPr>
          <w:rFonts w:hint="eastAsia" w:ascii="Arial" w:hAnsi="Arial" w:eastAsia="宋体" w:cs="Arial"/>
          <w:sz w:val="22"/>
          <w:lang w:val="en-US" w:eastAsia="zh-CN"/>
        </w:rPr>
        <w:t>USA</w:t>
      </w:r>
      <w:r>
        <w:rPr>
          <w:rFonts w:ascii="Arial" w:hAnsi="Arial" w:cs="Arial"/>
          <w:sz w:val="22"/>
          <w:lang w:val="en-US"/>
        </w:rPr>
        <w:t xml:space="preserve">, </w:t>
      </w:r>
      <w:r>
        <w:rPr>
          <w:rFonts w:hint="eastAsia" w:ascii="Arial" w:hAnsi="Arial" w:eastAsia="宋体" w:cs="Arial"/>
          <w:sz w:val="22"/>
          <w:lang w:val="en-US" w:eastAsia="zh-CN"/>
        </w:rPr>
        <w:t>13th</w:t>
      </w:r>
      <w:r>
        <w:rPr>
          <w:rFonts w:ascii="Arial" w:hAnsi="Arial" w:cs="Arial"/>
          <w:sz w:val="22"/>
          <w:lang w:val="en-US"/>
        </w:rPr>
        <w:t>-</w:t>
      </w:r>
      <w:r>
        <w:rPr>
          <w:rFonts w:hint="eastAsia" w:ascii="Arial" w:hAnsi="Arial" w:eastAsia="宋体" w:cs="Arial"/>
          <w:sz w:val="22"/>
          <w:lang w:val="en-US" w:eastAsia="zh-CN"/>
        </w:rPr>
        <w:t>17</w:t>
      </w:r>
      <w:r>
        <w:rPr>
          <w:rFonts w:ascii="Arial" w:hAnsi="Arial" w:cs="Arial"/>
          <w:sz w:val="22"/>
          <w:lang w:val="en-US"/>
        </w:rPr>
        <w:t>th,</w:t>
      </w:r>
      <w:r>
        <w:rPr>
          <w:rFonts w:hint="eastAsia" w:ascii="Arial" w:hAnsi="Arial" w:eastAsia="宋体" w:cs="Arial"/>
          <w:sz w:val="22"/>
          <w:lang w:val="en-US" w:eastAsia="zh-CN"/>
        </w:rPr>
        <w:t xml:space="preserve"> Nov</w:t>
      </w:r>
      <w:r>
        <w:rPr>
          <w:rFonts w:ascii="Arial" w:hAnsi="Arial" w:cs="Arial"/>
          <w:sz w:val="22"/>
          <w:lang w:val="en-US"/>
        </w:rPr>
        <w:t>. 2023</w:t>
      </w:r>
      <w:r>
        <w:rPr>
          <w:rFonts w:ascii="Arial" w:hAnsi="Arial" w:cs="Arial"/>
          <w:sz w:val="22"/>
          <w:lang w:val="en-US"/>
        </w:rPr>
        <w:tab/>
      </w:r>
    </w:p>
    <w:p>
      <w:pPr>
        <w:pStyle w:val="48"/>
        <w:spacing w:after="0"/>
        <w:rPr>
          <w:rFonts w:ascii="Arial" w:hAnsi="Arial" w:cs="Arial"/>
          <w:sz w:val="22"/>
          <w:lang w:val="en-US"/>
        </w:rPr>
      </w:pPr>
      <w:r>
        <w:rPr>
          <w:rFonts w:ascii="Arial" w:hAnsi="Arial" w:cs="Arial"/>
          <w:sz w:val="22"/>
          <w:lang w:val="en-US"/>
        </w:rPr>
        <w:tab/>
      </w:r>
    </w:p>
    <w:p>
      <w:pPr>
        <w:pStyle w:val="48"/>
        <w:spacing w:after="120"/>
        <w:rPr>
          <w:rFonts w:hint="eastAsia" w:ascii="Arial" w:hAnsi="Arial" w:eastAsia="宋体" w:cs="Arial"/>
          <w:b w:val="0"/>
          <w:sz w:val="22"/>
          <w:lang w:val="en-US" w:eastAsia="zh-CN"/>
        </w:rPr>
      </w:pPr>
      <w:r>
        <w:rPr>
          <w:rFonts w:ascii="Arial" w:hAnsi="Arial" w:cs="Arial"/>
          <w:sz w:val="22"/>
          <w:lang w:val="en-US"/>
        </w:rPr>
        <w:t>Agenda Item:</w:t>
      </w:r>
      <w:r>
        <w:rPr>
          <w:rFonts w:ascii="Arial" w:hAnsi="Arial" w:cs="Arial"/>
          <w:sz w:val="22"/>
          <w:lang w:val="en-US"/>
        </w:rPr>
        <w:tab/>
      </w:r>
      <w:r>
        <w:rPr>
          <w:rFonts w:ascii="Arial" w:hAnsi="Arial" w:cs="Arial"/>
          <w:b w:val="0"/>
          <w:sz w:val="22"/>
          <w:lang w:val="en-US"/>
        </w:rPr>
        <w:t>7.</w:t>
      </w:r>
      <w:r>
        <w:rPr>
          <w:rFonts w:hint="eastAsia" w:ascii="Arial" w:hAnsi="Arial" w:eastAsia="宋体" w:cs="Arial"/>
          <w:b w:val="0"/>
          <w:sz w:val="22"/>
          <w:lang w:val="en-US"/>
        </w:rPr>
        <w:t>16</w:t>
      </w:r>
      <w:r>
        <w:rPr>
          <w:rFonts w:ascii="Arial" w:hAnsi="Arial" w:cs="Arial"/>
          <w:b w:val="0"/>
          <w:sz w:val="22"/>
          <w:lang w:val="en-US"/>
        </w:rPr>
        <w:t>.</w:t>
      </w:r>
      <w:r>
        <w:rPr>
          <w:rFonts w:hint="eastAsia" w:ascii="Arial" w:hAnsi="Arial" w:eastAsia="宋体" w:cs="Arial"/>
          <w:b w:val="0"/>
          <w:sz w:val="22"/>
          <w:lang w:val="en-US"/>
        </w:rPr>
        <w:t>2</w:t>
      </w:r>
      <w:r>
        <w:rPr>
          <w:rFonts w:ascii="Arial" w:hAnsi="Arial" w:eastAsia="宋体" w:cs="Arial"/>
          <w:b w:val="0"/>
          <w:sz w:val="22"/>
          <w:lang w:val="en-US"/>
        </w:rPr>
        <w:t>.</w:t>
      </w:r>
      <w:r>
        <w:rPr>
          <w:rFonts w:hint="eastAsia" w:ascii="Arial" w:hAnsi="Arial" w:eastAsia="宋体" w:cs="Arial"/>
          <w:b w:val="0"/>
          <w:sz w:val="22"/>
          <w:lang w:val="en-US" w:eastAsia="zh-CN"/>
        </w:rPr>
        <w:t>2</w:t>
      </w:r>
    </w:p>
    <w:p>
      <w:pPr>
        <w:pStyle w:val="48"/>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pPr>
        <w:pStyle w:val="48"/>
        <w:spacing w:after="120"/>
        <w:rPr>
          <w:rFonts w:hint="default" w:ascii="Arial" w:hAnsi="Arial" w:eastAsia="宋体" w:cs="Arial"/>
          <w:b w:val="0"/>
          <w:sz w:val="22"/>
          <w:lang w:val="en-US" w:eastAsia="zh-CN"/>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 xml:space="preserve">Discussion on </w:t>
      </w:r>
      <w:r>
        <w:rPr>
          <w:rFonts w:hint="eastAsia" w:ascii="Arial" w:hAnsi="Arial" w:eastAsia="宋体" w:cs="Arial"/>
          <w:b w:val="0"/>
          <w:sz w:val="22"/>
          <w:lang w:val="en-US" w:eastAsia="zh-CN"/>
        </w:rPr>
        <w:t>Data Collection</w:t>
      </w:r>
    </w:p>
    <w:p>
      <w:pPr>
        <w:pStyle w:val="48"/>
        <w:spacing w:after="120"/>
        <w:rPr>
          <w:rFonts w:ascii="Arial" w:hAnsi="Arial" w:eastAsia="宋体" w:cs="Arial"/>
          <w:b w:val="0"/>
          <w:bCs/>
          <w:sz w:val="22"/>
          <w:lang w:val="en-US"/>
        </w:rPr>
      </w:pPr>
      <w:r>
        <w:rPr>
          <w:rFonts w:ascii="Arial" w:hAnsi="Arial" w:cs="Arial"/>
          <w:sz w:val="22"/>
          <w:lang w:val="de-DE"/>
        </w:rPr>
        <w:t>Document for:</w:t>
      </w:r>
      <w:r>
        <w:rPr>
          <w:rFonts w:ascii="Arial" w:hAnsi="Arial" w:cs="Arial"/>
          <w:sz w:val="22"/>
          <w:lang w:val="de-DE"/>
        </w:rPr>
        <w:tab/>
      </w:r>
      <w:r>
        <w:rPr>
          <w:rFonts w:hint="eastAsia" w:ascii="Arial" w:hAnsi="Arial" w:eastAsia="宋体" w:cs="Arial"/>
          <w:b w:val="0"/>
          <w:bCs/>
          <w:sz w:val="22"/>
          <w:lang w:val="en-US"/>
        </w:rPr>
        <w:t>Discussion</w:t>
      </w:r>
    </w:p>
    <w:p>
      <w:pPr>
        <w:pStyle w:val="2"/>
      </w:pPr>
      <w:r>
        <w:t>Introduction</w:t>
      </w:r>
    </w:p>
    <w:p>
      <w:pPr>
        <w:pStyle w:val="14"/>
        <w:jc w:val="both"/>
        <w:rPr>
          <w:rFonts w:hint="default" w:eastAsia="宋体"/>
          <w:lang w:val="en-US" w:eastAsia="zh-CN"/>
        </w:rPr>
      </w:pPr>
      <w:bookmarkStart w:id="0" w:name="_Hlk53665621"/>
      <w:bookmarkStart w:id="1" w:name="_Toc242573354"/>
      <w:r>
        <w:rPr>
          <w:rFonts w:hint="eastAsia" w:eastAsia="宋体"/>
          <w:lang w:val="en-US" w:eastAsia="zh-CN"/>
        </w:rPr>
        <w:t xml:space="preserve">According to </w:t>
      </w:r>
      <w:r>
        <w:t>previous meeting agreements</w:t>
      </w:r>
      <w:r>
        <w:rPr>
          <w:rFonts w:hint="eastAsia" w:eastAsia="宋体"/>
          <w:lang w:val="en-US" w:eastAsia="zh-CN"/>
        </w:rPr>
        <w:t xml:space="preserve">, </w:t>
      </w:r>
      <w:r>
        <w:t>related discussions</w:t>
      </w:r>
      <w:r>
        <w:rPr>
          <w:rFonts w:hint="eastAsia" w:eastAsia="宋体"/>
          <w:lang w:val="en-US" w:eastAsia="zh-CN"/>
        </w:rPr>
        <w:t xml:space="preserve"> and LS reply </w:t>
      </w:r>
      <w:r>
        <w:t xml:space="preserve">on </w:t>
      </w:r>
      <w:r>
        <w:rPr>
          <w:rFonts w:hint="eastAsia" w:eastAsia="宋体"/>
          <w:lang w:val="en-US" w:eastAsia="zh-CN"/>
        </w:rPr>
        <w:t>d</w:t>
      </w:r>
      <w:r>
        <w:t xml:space="preserve">ata </w:t>
      </w:r>
      <w:r>
        <w:rPr>
          <w:rFonts w:hint="eastAsia" w:eastAsia="宋体"/>
          <w:lang w:val="en-US" w:eastAsia="zh-CN"/>
        </w:rPr>
        <w:t>c</w:t>
      </w:r>
      <w:r>
        <w:t>ollection</w:t>
      </w:r>
      <w:r>
        <w:rPr>
          <w:rFonts w:hint="eastAsia" w:eastAsia="宋体"/>
          <w:lang w:val="en-US" w:eastAsia="zh-CN"/>
        </w:rPr>
        <w:t xml:space="preserve"> from RAN1(</w:t>
      </w:r>
      <w:r>
        <w:rPr>
          <w:rFonts w:ascii="Arial" w:hAnsi="Arial" w:eastAsia="Times New Roman" w:cs="Times New Roman"/>
          <w:szCs w:val="24"/>
          <w:lang w:val="en-US" w:eastAsia="zh-CN" w:bidi="ar-SA"/>
        </w:rPr>
        <w:t>R2-230943</w:t>
      </w:r>
      <w:r>
        <w:rPr>
          <w:rFonts w:ascii="Arial" w:hAnsi="Arial" w:eastAsia="Times New Roman" w:cs="Times New Roman"/>
          <w:szCs w:val="24"/>
          <w:lang w:val="en-GB" w:eastAsia="zh-CN" w:bidi="ar-SA"/>
        </w:rPr>
        <w:t>5</w:t>
      </w:r>
      <w:r>
        <w:rPr>
          <w:rFonts w:hint="eastAsia" w:eastAsia="Times New Roman" w:cs="Times New Roman"/>
          <w:szCs w:val="24"/>
          <w:lang w:val="en-US" w:eastAsia="zh-CN" w:bidi="ar-SA"/>
        </w:rPr>
        <w:t xml:space="preserve"> and </w:t>
      </w:r>
      <w:r>
        <w:rPr>
          <w:rFonts w:eastAsia="宋体"/>
        </w:rPr>
        <w:t>R2-2311720</w:t>
      </w:r>
      <w:r>
        <w:rPr>
          <w:rFonts w:hint="eastAsia" w:eastAsia="宋体"/>
          <w:lang w:val="en-US" w:eastAsia="zh-CN"/>
        </w:rPr>
        <w:t xml:space="preserve">), this contribution will further discuss the data collection of two-sided model trying to reinforce and clarify some aspects that were not captured in RAN2’s agreement(s). </w:t>
      </w:r>
    </w:p>
    <w:bookmarkEnd w:id="0"/>
    <w:p>
      <w:pPr>
        <w:pStyle w:val="2"/>
      </w:pPr>
      <w:bookmarkStart w:id="2" w:name="_Hlk131714482"/>
      <w:r>
        <w:t>Discussion</w:t>
      </w:r>
      <w:bookmarkEnd w:id="1"/>
      <w:bookmarkEnd w:id="2"/>
    </w:p>
    <w:p>
      <w:pPr>
        <w:pStyle w:val="3"/>
        <w:numPr>
          <w:ilvl w:val="0"/>
          <w:numId w:val="0"/>
        </w:numPr>
        <w:rPr>
          <w:rFonts w:hint="default" w:eastAsia="宋体"/>
          <w:lang w:val="en-US" w:eastAsia="zh-CN"/>
        </w:rPr>
      </w:pPr>
      <w:r>
        <w:t>2.</w:t>
      </w:r>
      <w:r>
        <w:rPr>
          <w:rFonts w:hint="eastAsia" w:eastAsia="宋体"/>
          <w:lang w:val="en-US" w:eastAsia="zh-CN"/>
        </w:rPr>
        <w:t>1</w:t>
      </w:r>
      <w:r>
        <w:tab/>
      </w:r>
      <w:r>
        <w:rPr>
          <w:rFonts w:hint="eastAsia" w:eastAsia="宋体"/>
          <w:lang w:val="en-US" w:eastAsia="zh-CN"/>
        </w:rPr>
        <w:t>Two-sided model</w:t>
      </w:r>
    </w:p>
    <w:p>
      <w:pPr>
        <w:pStyle w:val="14"/>
        <w:rPr>
          <w:rStyle w:val="88"/>
          <w:rFonts w:hint="eastAsia" w:eastAsia="宋体"/>
          <w:lang w:val="en-US" w:eastAsia="zh-CN"/>
        </w:rPr>
      </w:pPr>
      <w:r>
        <w:rPr>
          <w:rFonts w:hint="eastAsia" w:eastAsia="宋体"/>
          <w:lang w:val="en-US" w:eastAsia="zh-CN"/>
        </w:rPr>
        <w:t xml:space="preserve">Regarding CSI compression using two-sided AI/ML model use case, RAN1 made following clarification </w:t>
      </w:r>
      <w:r>
        <w:rPr>
          <w:rFonts w:ascii="Arial" w:hAnsi="Arial" w:eastAsia="Calibri" w:cs="Arial"/>
          <w:color w:val="000000"/>
          <w:sz w:val="22"/>
          <w:szCs w:val="22"/>
        </w:rPr>
        <w:t>based on the Assumption of  RAN2 LS</w:t>
      </w:r>
      <w:r>
        <w:rPr>
          <w:rFonts w:hint="eastAsia" w:eastAsia="宋体" w:cs="Arial"/>
          <w:color w:val="000000"/>
          <w:sz w:val="22"/>
          <w:szCs w:val="22"/>
          <w:lang w:val="en-US" w:eastAsia="zh-CN"/>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textAlignment w:val="baseline"/>
              <w:rPr>
                <w:rFonts w:ascii="Segoe UI" w:hAnsi="Segoe UI" w:eastAsia="Calibri" w:cs="Segoe UI"/>
                <w:sz w:val="18"/>
                <w:szCs w:val="18"/>
              </w:rPr>
            </w:pPr>
            <w:r>
              <w:rPr>
                <w:rFonts w:ascii="Arial" w:hAnsi="Arial" w:eastAsia="Calibri" w:cs="Arial"/>
                <w:b/>
                <w:color w:val="000000"/>
                <w:sz w:val="22"/>
                <w:szCs w:val="22"/>
                <w:u w:val="single"/>
              </w:rPr>
              <w:t>From RAN1 LS reply in R1-2308730</w:t>
            </w:r>
            <w:r>
              <w:rPr>
                <w:rFonts w:ascii="Arial" w:hAnsi="Arial" w:eastAsia="Calibri" w:cs="Arial"/>
                <w:color w:val="000000"/>
                <w:sz w:val="22"/>
                <w:szCs w:val="22"/>
              </w:rPr>
              <w:t>:</w:t>
            </w:r>
          </w:p>
          <w:p>
            <w:pPr>
              <w:numPr>
                <w:ilvl w:val="0"/>
                <w:numId w:val="3"/>
              </w:numPr>
              <w:overflowPunct/>
              <w:autoSpaceDE/>
              <w:autoSpaceDN w:val="0"/>
              <w:adjustRightInd/>
              <w:spacing w:after="160" w:line="252" w:lineRule="auto"/>
              <w:textAlignment w:val="auto"/>
              <w:rPr>
                <w:rFonts w:ascii="Arial" w:hAnsi="Arial" w:eastAsia="Calibri" w:cs="Arial"/>
                <w:sz w:val="22"/>
                <w:szCs w:val="22"/>
                <w:lang w:eastAsia="ko-KR"/>
              </w:rPr>
            </w:pPr>
            <w:r>
              <w:rPr>
                <w:rFonts w:ascii="Arial" w:hAnsi="Arial" w:eastAsia="Calibri" w:cs="Arial"/>
                <w:sz w:val="22"/>
                <w:szCs w:val="22"/>
              </w:rPr>
              <w:t xml:space="preserve">For CSI </w:t>
            </w:r>
            <w:r>
              <w:rPr>
                <w:rFonts w:ascii="Arial" w:hAnsi="Arial" w:eastAsia="Calibri" w:cs="Arial"/>
                <w:color w:val="FF0000"/>
                <w:sz w:val="22"/>
                <w:szCs w:val="22"/>
              </w:rPr>
              <w:t xml:space="preserve">compression </w:t>
            </w:r>
            <w:r>
              <w:rPr>
                <w:rFonts w:ascii="Arial" w:hAnsi="Arial" w:eastAsia="Calibri" w:cs="Arial"/>
                <w:strike/>
                <w:color w:val="FF0000"/>
                <w:sz w:val="22"/>
                <w:szCs w:val="22"/>
              </w:rPr>
              <w:t>enhancement</w:t>
            </w:r>
            <w:r>
              <w:rPr>
                <w:rFonts w:ascii="Arial" w:hAnsi="Arial" w:eastAsia="Calibri" w:cs="Arial"/>
                <w:color w:val="FF0000"/>
                <w:sz w:val="22"/>
                <w:szCs w:val="22"/>
              </w:rPr>
              <w:t xml:space="preserve"> </w:t>
            </w:r>
            <w:r>
              <w:rPr>
                <w:rFonts w:ascii="Arial" w:hAnsi="Arial" w:eastAsia="Calibri" w:cs="Arial"/>
                <w:strike/>
                <w:color w:val="FF0000"/>
                <w:sz w:val="22"/>
                <w:szCs w:val="22"/>
              </w:rPr>
              <w:t>and beam management</w:t>
            </w:r>
            <w:r>
              <w:rPr>
                <w:rFonts w:ascii="Arial" w:hAnsi="Arial" w:eastAsia="Calibri" w:cs="Arial"/>
                <w:color w:val="FF0000"/>
                <w:sz w:val="22"/>
                <w:szCs w:val="22"/>
              </w:rPr>
              <w:t xml:space="preserve"> </w:t>
            </w:r>
            <w:r>
              <w:rPr>
                <w:rFonts w:ascii="Arial" w:hAnsi="Arial" w:eastAsia="Calibri" w:cs="Arial"/>
                <w:sz w:val="22"/>
                <w:szCs w:val="22"/>
              </w:rPr>
              <w:t>use case:</w:t>
            </w:r>
          </w:p>
          <w:p>
            <w:pPr>
              <w:widowControl w:val="0"/>
              <w:numPr>
                <w:ilvl w:val="0"/>
                <w:numId w:val="4"/>
              </w:numPr>
              <w:overflowPunct/>
              <w:autoSpaceDE/>
              <w:autoSpaceDN w:val="0"/>
              <w:adjustRightInd/>
              <w:spacing w:after="160" w:line="252" w:lineRule="auto"/>
              <w:ind w:left="200" w:leftChars="100"/>
              <w:textAlignment w:val="auto"/>
              <w:rPr>
                <w:rFonts w:ascii="Arial" w:hAnsi="Arial" w:eastAsia="Calibri" w:cs="Arial"/>
                <w:sz w:val="22"/>
                <w:szCs w:val="22"/>
                <w:lang w:eastAsia="en-GB"/>
              </w:rPr>
            </w:pPr>
            <w:r>
              <w:rPr>
                <w:rFonts w:ascii="Arial" w:hAnsi="Arial" w:eastAsia="Calibri" w:cs="Arial"/>
                <w:sz w:val="22"/>
                <w:szCs w:val="22"/>
              </w:rPr>
              <w:t xml:space="preserve">For model training, training data can be generated by UE/gNB </w:t>
            </w:r>
            <w:r>
              <w:rPr>
                <w:rFonts w:ascii="Arial" w:hAnsi="Arial" w:eastAsia="Calibri" w:cs="Arial"/>
                <w:strike/>
                <w:color w:val="FF0000"/>
                <w:sz w:val="22"/>
                <w:szCs w:val="22"/>
              </w:rPr>
              <w:t>and terminated at gNB/OAM</w:t>
            </w:r>
            <w:r>
              <w:rPr>
                <w:rFonts w:ascii="Arial" w:hAnsi="Arial" w:eastAsia="Calibri" w:cs="Arial"/>
                <w:color w:val="FF0000"/>
                <w:sz w:val="22"/>
                <w:szCs w:val="22"/>
              </w:rPr>
              <w:t>/</w:t>
            </w:r>
            <w:r>
              <w:rPr>
                <w:rFonts w:ascii="Arial" w:hAnsi="Arial" w:eastAsia="Calibri" w:cs="Arial"/>
                <w:strike/>
                <w:color w:val="FF0000"/>
                <w:sz w:val="22"/>
                <w:szCs w:val="22"/>
              </w:rPr>
              <w:t>OTT server</w:t>
            </w:r>
            <w:r>
              <w:rPr>
                <w:rFonts w:ascii="Arial" w:hAnsi="Arial" w:eastAsia="Calibri" w:cs="Arial"/>
                <w:color w:val="FF0000"/>
                <w:sz w:val="22"/>
                <w:szCs w:val="22"/>
              </w:rPr>
              <w:t xml:space="preserve"> </w:t>
            </w:r>
          </w:p>
          <w:p>
            <w:pPr>
              <w:widowControl w:val="0"/>
              <w:numPr>
                <w:ilvl w:val="0"/>
                <w:numId w:val="4"/>
              </w:numPr>
              <w:overflowPunct/>
              <w:autoSpaceDE/>
              <w:autoSpaceDN w:val="0"/>
              <w:adjustRightInd/>
              <w:spacing w:after="160" w:line="252" w:lineRule="auto"/>
              <w:ind w:left="200" w:leftChars="100"/>
              <w:textAlignment w:val="auto"/>
              <w:rPr>
                <w:rFonts w:ascii="Arial" w:hAnsi="Arial" w:eastAsia="Calibri" w:cs="Arial"/>
                <w:sz w:val="22"/>
                <w:szCs w:val="22"/>
              </w:rPr>
            </w:pPr>
            <w:r>
              <w:rPr>
                <w:rFonts w:ascii="Arial" w:hAnsi="Arial" w:eastAsia="Calibri" w:cs="Arial"/>
                <w:sz w:val="22"/>
                <w:szCs w:val="22"/>
              </w:rPr>
              <w:t xml:space="preserve">For </w:t>
            </w:r>
            <w:r>
              <w:rPr>
                <w:rFonts w:ascii="Arial" w:hAnsi="Arial" w:eastAsia="Calibri" w:cs="Arial"/>
                <w:strike/>
                <w:color w:val="FF0000"/>
                <w:sz w:val="22"/>
                <w:szCs w:val="22"/>
              </w:rPr>
              <w:t xml:space="preserve">NW-sided model inference </w:t>
            </w:r>
            <w:r>
              <w:rPr>
                <w:rFonts w:ascii="Arial" w:hAnsi="Arial" w:eastAsia="Calibri" w:cs="Arial"/>
                <w:color w:val="FF0000"/>
                <w:sz w:val="22"/>
                <w:szCs w:val="22"/>
              </w:rPr>
              <w:t>NW-part of two-sided model inference</w:t>
            </w:r>
            <w:r>
              <w:rPr>
                <w:rFonts w:ascii="Arial" w:hAnsi="Arial" w:eastAsia="Calibri" w:cs="Arial"/>
                <w:sz w:val="22"/>
                <w:szCs w:val="22"/>
              </w:rPr>
              <w:t>, input data can be generated by UE and terminated at gNB.</w:t>
            </w:r>
          </w:p>
          <w:p>
            <w:pPr>
              <w:widowControl w:val="0"/>
              <w:numPr>
                <w:ilvl w:val="0"/>
                <w:numId w:val="4"/>
              </w:numPr>
              <w:overflowPunct/>
              <w:autoSpaceDE/>
              <w:autoSpaceDN w:val="0"/>
              <w:adjustRightInd/>
              <w:spacing w:after="160" w:line="252" w:lineRule="auto"/>
              <w:ind w:left="200" w:leftChars="100"/>
              <w:textAlignment w:val="auto"/>
              <w:rPr>
                <w:rFonts w:ascii="Arial" w:hAnsi="Arial" w:eastAsia="Calibri" w:cs="Arial"/>
                <w:sz w:val="22"/>
                <w:szCs w:val="22"/>
              </w:rPr>
            </w:pPr>
            <w:r>
              <w:rPr>
                <w:rFonts w:ascii="Arial" w:hAnsi="Arial" w:eastAsia="Calibri" w:cs="Arial"/>
                <w:sz w:val="22"/>
                <w:szCs w:val="22"/>
              </w:rPr>
              <w:t xml:space="preserve">For </w:t>
            </w:r>
            <w:r>
              <w:rPr>
                <w:rFonts w:ascii="Arial" w:hAnsi="Arial" w:eastAsia="Calibri" w:cs="Arial"/>
                <w:strike/>
                <w:color w:val="FF0000"/>
                <w:sz w:val="22"/>
                <w:szCs w:val="22"/>
              </w:rPr>
              <w:t>UE-side model inference</w:t>
            </w:r>
            <w:r>
              <w:rPr>
                <w:rFonts w:ascii="Arial" w:hAnsi="Arial" w:eastAsia="Calibri" w:cs="Arial"/>
                <w:color w:val="FF0000"/>
                <w:sz w:val="22"/>
                <w:szCs w:val="22"/>
              </w:rPr>
              <w:t xml:space="preserve"> UE-part of two-sided model inference</w:t>
            </w:r>
            <w:r>
              <w:rPr>
                <w:rFonts w:ascii="Arial" w:hAnsi="Arial" w:eastAsia="Calibri" w:cs="Arial"/>
                <w:sz w:val="22"/>
                <w:szCs w:val="22"/>
              </w:rPr>
              <w:t xml:space="preserve">, </w:t>
            </w:r>
            <w:r>
              <w:rPr>
                <w:rFonts w:ascii="Arial" w:hAnsi="Arial" w:eastAsia="Calibri" w:cs="Arial"/>
                <w:color w:val="FF0000"/>
                <w:sz w:val="22"/>
                <w:szCs w:val="22"/>
              </w:rPr>
              <w:t>input data is internally available at UE</w:t>
            </w:r>
            <w:r>
              <w:rPr>
                <w:rFonts w:ascii="Arial" w:hAnsi="Arial" w:eastAsia="Calibri" w:cs="Arial"/>
                <w:strike/>
                <w:color w:val="FF0000"/>
                <w:sz w:val="22"/>
                <w:szCs w:val="22"/>
              </w:rPr>
              <w:t>input data/assistance information can be generated by gNB and terminated at UE</w:t>
            </w:r>
            <w:r>
              <w:rPr>
                <w:rFonts w:ascii="Arial" w:hAnsi="Arial" w:eastAsia="Calibri" w:cs="Arial"/>
                <w:sz w:val="22"/>
                <w:szCs w:val="22"/>
              </w:rPr>
              <w:t>.</w:t>
            </w:r>
          </w:p>
          <w:p>
            <w:pPr>
              <w:widowControl w:val="0"/>
              <w:numPr>
                <w:ilvl w:val="0"/>
                <w:numId w:val="4"/>
              </w:numPr>
              <w:overflowPunct/>
              <w:autoSpaceDE/>
              <w:autoSpaceDN w:val="0"/>
              <w:adjustRightInd/>
              <w:spacing w:after="160" w:line="252" w:lineRule="auto"/>
              <w:ind w:left="200" w:leftChars="100"/>
              <w:textAlignment w:val="auto"/>
              <w:rPr>
                <w:rFonts w:ascii="Arial" w:hAnsi="Arial" w:eastAsia="Calibri" w:cs="Arial"/>
                <w:sz w:val="22"/>
                <w:szCs w:val="22"/>
              </w:rPr>
            </w:pPr>
            <w:r>
              <w:rPr>
                <w:rFonts w:ascii="Arial" w:hAnsi="Arial" w:eastAsia="Calibri" w:cs="Arial"/>
                <w:sz w:val="22"/>
                <w:szCs w:val="22"/>
              </w:rPr>
              <w:t xml:space="preserve">For </w:t>
            </w:r>
            <w:r>
              <w:rPr>
                <w:rFonts w:ascii="Arial" w:hAnsi="Arial" w:eastAsia="Calibri" w:cs="Arial"/>
                <w:strike/>
                <w:color w:val="FF0000"/>
                <w:sz w:val="22"/>
                <w:szCs w:val="22"/>
              </w:rPr>
              <w:t xml:space="preserve">model </w:t>
            </w:r>
            <w:r>
              <w:rPr>
                <w:rFonts w:ascii="Arial" w:hAnsi="Arial" w:eastAsia="Calibri" w:cs="Arial"/>
                <w:color w:val="FF0000"/>
                <w:sz w:val="22"/>
                <w:szCs w:val="22"/>
              </w:rPr>
              <w:t xml:space="preserve">performance </w:t>
            </w:r>
            <w:r>
              <w:rPr>
                <w:rFonts w:ascii="Arial" w:hAnsi="Arial" w:eastAsia="Calibri" w:cs="Arial"/>
                <w:sz w:val="22"/>
                <w:szCs w:val="22"/>
              </w:rPr>
              <w:t>monitoring at the NW</w:t>
            </w:r>
            <w:r>
              <w:rPr>
                <w:rFonts w:ascii="Arial" w:hAnsi="Arial" w:eastAsia="Calibri" w:cs="Arial"/>
                <w:color w:val="FF0000"/>
                <w:sz w:val="22"/>
                <w:szCs w:val="22"/>
              </w:rPr>
              <w:t xml:space="preserve"> </w:t>
            </w:r>
            <w:r>
              <w:rPr>
                <w:rFonts w:ascii="Arial" w:hAnsi="Arial" w:eastAsia="Calibri" w:cs="Arial"/>
                <w:sz w:val="22"/>
                <w:szCs w:val="22"/>
              </w:rPr>
              <w:t xml:space="preserve">side, </w:t>
            </w:r>
            <w:r>
              <w:rPr>
                <w:rFonts w:ascii="Arial" w:hAnsi="Arial" w:eastAsia="Calibri" w:cs="Arial"/>
                <w:color w:val="FF0000"/>
                <w:sz w:val="22"/>
                <w:szCs w:val="22"/>
              </w:rPr>
              <w:t xml:space="preserve">calculated </w:t>
            </w:r>
            <w:r>
              <w:rPr>
                <w:rFonts w:ascii="Arial" w:hAnsi="Arial" w:eastAsia="Calibri" w:cs="Arial"/>
                <w:sz w:val="22"/>
                <w:szCs w:val="22"/>
              </w:rPr>
              <w:t>performance metrics</w:t>
            </w:r>
            <w:r>
              <w:rPr>
                <w:rFonts w:ascii="Arial" w:hAnsi="Arial" w:eastAsia="Calibri" w:cs="Arial"/>
                <w:color w:val="FF0000"/>
                <w:sz w:val="22"/>
                <w:szCs w:val="22"/>
              </w:rPr>
              <w:t xml:space="preserve"> (if needed) or data needed for performance metric calculation (if needed) </w:t>
            </w:r>
            <w:r>
              <w:rPr>
                <w:rFonts w:ascii="Arial" w:hAnsi="Arial" w:eastAsia="Calibri" w:cs="Arial"/>
                <w:sz w:val="22"/>
                <w:szCs w:val="22"/>
              </w:rPr>
              <w:t>can be generated by UE</w:t>
            </w:r>
            <w:r>
              <w:rPr>
                <w:rFonts w:ascii="Arial" w:hAnsi="Arial" w:eastAsia="Calibri" w:cs="Arial"/>
                <w:color w:val="FF0000"/>
                <w:sz w:val="22"/>
                <w:szCs w:val="22"/>
              </w:rPr>
              <w:t xml:space="preserve"> </w:t>
            </w:r>
            <w:r>
              <w:rPr>
                <w:rFonts w:ascii="Arial" w:hAnsi="Arial" w:eastAsia="Calibri" w:cs="Arial"/>
                <w:sz w:val="22"/>
                <w:szCs w:val="22"/>
              </w:rPr>
              <w:t>and terminated at gNB.</w:t>
            </w:r>
          </w:p>
          <w:p>
            <w:pPr>
              <w:overflowPunct w:val="0"/>
              <w:autoSpaceDE w:val="0"/>
              <w:autoSpaceDN w:val="0"/>
              <w:adjustRightInd w:val="0"/>
              <w:textAlignment w:val="baseline"/>
              <w:rPr>
                <w:rFonts w:ascii="Arial" w:hAnsi="Arial" w:eastAsia="Calibri" w:cs="Arial"/>
                <w:sz w:val="22"/>
                <w:szCs w:val="22"/>
              </w:rPr>
            </w:pPr>
            <w:r>
              <w:rPr>
                <w:rFonts w:ascii="Arial" w:hAnsi="Arial" w:eastAsia="Calibri" w:cs="Arial"/>
                <w:b/>
                <w:color w:val="000000"/>
                <w:sz w:val="22"/>
                <w:szCs w:val="22"/>
                <w:u w:val="single"/>
              </w:rPr>
              <w:t>From RAN1 LS reply in R1-23</w:t>
            </w:r>
            <w:r>
              <w:rPr>
                <w:rFonts w:hint="eastAsia" w:eastAsia="宋体" w:cs="Arial"/>
                <w:b/>
                <w:color w:val="000000"/>
                <w:sz w:val="22"/>
                <w:szCs w:val="22"/>
                <w:u w:val="single"/>
                <w:lang w:val="en-US" w:eastAsia="zh-CN"/>
              </w:rPr>
              <w:t>1</w:t>
            </w:r>
            <w:r>
              <w:rPr>
                <w:rFonts w:ascii="Arial" w:hAnsi="Arial" w:eastAsia="Calibri" w:cs="Arial"/>
                <w:b/>
                <w:color w:val="000000"/>
                <w:sz w:val="22"/>
                <w:szCs w:val="22"/>
                <w:u w:val="single"/>
              </w:rPr>
              <w:t>0</w:t>
            </w:r>
            <w:r>
              <w:rPr>
                <w:rFonts w:hint="eastAsia" w:eastAsia="宋体" w:cs="Arial"/>
                <w:b/>
                <w:color w:val="000000"/>
                <w:sz w:val="22"/>
                <w:szCs w:val="22"/>
                <w:u w:val="single"/>
                <w:lang w:val="en-US" w:eastAsia="zh-CN"/>
              </w:rPr>
              <w:t>6</w:t>
            </w:r>
            <w:r>
              <w:rPr>
                <w:rFonts w:ascii="Arial" w:hAnsi="Arial" w:eastAsia="Calibri" w:cs="Arial"/>
                <w:b/>
                <w:color w:val="000000"/>
                <w:sz w:val="22"/>
                <w:szCs w:val="22"/>
                <w:u w:val="single"/>
              </w:rPr>
              <w:t>8</w:t>
            </w:r>
            <w:r>
              <w:rPr>
                <w:rFonts w:hint="eastAsia" w:eastAsia="宋体" w:cs="Arial"/>
                <w:b/>
                <w:color w:val="000000"/>
                <w:sz w:val="22"/>
                <w:szCs w:val="22"/>
                <w:u w:val="single"/>
                <w:lang w:val="en-US" w:eastAsia="zh-CN"/>
              </w:rPr>
              <w:t>1</w:t>
            </w:r>
            <w:r>
              <w:rPr>
                <w:rFonts w:ascii="Arial" w:hAnsi="Arial" w:eastAsia="Calibri" w:cs="Arial"/>
                <w:color w:val="000000"/>
                <w:sz w:val="22"/>
                <w:szCs w:val="22"/>
              </w:rPr>
              <w:t>:</w:t>
            </w:r>
          </w:p>
          <w:tbl>
            <w:tblPr>
              <w:tblStyle w:val="25"/>
              <w:tblpPr w:leftFromText="180" w:rightFromText="180" w:vertAnchor="text" w:horzAnchor="page" w:tblpX="135" w:tblpY="882"/>
              <w:tblOverlap w:val="never"/>
              <w:tblW w:w="49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5"/>
              <w:gridCol w:w="1506"/>
              <w:gridCol w:w="1261"/>
              <w:gridCol w:w="137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b/>
                      <w:bCs/>
                    </w:rPr>
                  </w:pPr>
                  <w:r>
                    <w:rPr>
                      <w:b/>
                      <w:bCs/>
                    </w:rPr>
                    <w:t>LCM purpose</w:t>
                  </w:r>
                </w:p>
              </w:tc>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b/>
                      <w:bCs/>
                    </w:rPr>
                  </w:pPr>
                  <w:r>
                    <w:rPr>
                      <w:b/>
                      <w:bCs/>
                    </w:rPr>
                    <w:t>Data content</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b/>
                      <w:bCs/>
                    </w:rPr>
                  </w:pPr>
                  <w:r>
                    <w:rPr>
                      <w:b/>
                      <w:bCs/>
                    </w:rPr>
                    <w:t>Typical data size (per data sample)</w:t>
                  </w:r>
                </w:p>
              </w:tc>
              <w:tc>
                <w:tcPr>
                  <w:tcW w:w="73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rPr>
                      <w:b/>
                      <w:bCs/>
                    </w:rPr>
                  </w:pPr>
                  <w:r>
                    <w:rPr>
                      <w:b/>
                      <w:bCs/>
                    </w:rPr>
                    <w:t>Typical latency requirement</w:t>
                  </w:r>
                </w:p>
              </w:tc>
              <w:tc>
                <w:tcPr>
                  <w:tcW w:w="202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jc w:val="left"/>
                    <w:rPr>
                      <w:b/>
                      <w:bCs/>
                    </w:rPr>
                  </w:pPr>
                  <w:r>
                    <w:rPr>
                      <w:b/>
                      <w:bCs/>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745" w:type="pct"/>
                  <w:vMerge w:val="restar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pPr>
                  <w:r>
                    <w:t>Training</w:t>
                  </w:r>
                </w:p>
              </w:tc>
              <w:tc>
                <w:tcPr>
                  <w:tcW w:w="809" w:type="pc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pPr>
                  <w:r>
                    <w:t xml:space="preserve">Target CSI </w:t>
                  </w:r>
                </w:p>
              </w:tc>
              <w:tc>
                <w:tcPr>
                  <w:tcW w:w="678" w:type="pc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pPr>
                  <w:r>
                    <w:t>See Notes 1, 2</w:t>
                  </w:r>
                </w:p>
              </w:tc>
              <w:tc>
                <w:tcPr>
                  <w:tcW w:w="737" w:type="pc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pPr>
                  <w:r>
                    <w:t>Relaxed</w:t>
                  </w:r>
                </w:p>
              </w:tc>
              <w:tc>
                <w:tcPr>
                  <w:tcW w:w="2029" w:type="pc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jc w:val="left"/>
                  </w:pPr>
                  <w:r>
                    <w:t>This row applies to Type 1, Type 2, and the first or second stage of described procedure of Type 3 separate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745" w:type="pct"/>
                  <w:vMerge w:val="continue"/>
                  <w:tcBorders>
                    <w:left w:val="single" w:color="auto" w:sz="4" w:space="0"/>
                    <w:right w:val="single" w:color="auto" w:sz="4" w:space="0"/>
                  </w:tcBorders>
                  <w:shd w:val="clear" w:color="auto" w:fill="auto"/>
                  <w:vAlign w:val="center"/>
                </w:tcPr>
                <w:p/>
              </w:tc>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CSI Feedback</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See Note 3</w:t>
                  </w:r>
                </w:p>
              </w:tc>
              <w:tc>
                <w:tcPr>
                  <w:tcW w:w="73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Relaxed</w:t>
                  </w:r>
                </w:p>
              </w:tc>
              <w:tc>
                <w:tcPr>
                  <w:tcW w:w="202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jc w:val="left"/>
                  </w:pPr>
                  <w:r>
                    <w:t>This is for dataset delivery for the second stage of described procedure of Type 3 separate training (either from Network side to UE side, or from UE side to Network side) and forward propagation information for Type 2 training.</w:t>
                  </w:r>
                </w:p>
                <w:p>
                  <w:pPr>
                    <w:snapToGrid w:val="0"/>
                    <w:spacing w:before="100" w:beforeAutospacing="1" w:after="120"/>
                    <w:jc w:val="left"/>
                  </w:pPr>
                  <w:r>
                    <w:t>See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pct"/>
                  <w:vMerge w:val="continue"/>
                  <w:tcBorders>
                    <w:left w:val="single" w:color="auto" w:sz="4" w:space="0"/>
                    <w:right w:val="single" w:color="auto" w:sz="4" w:space="0"/>
                  </w:tcBorders>
                  <w:shd w:val="clear" w:color="auto" w:fill="auto"/>
                  <w:vAlign w:val="center"/>
                </w:tcPr>
                <w:p/>
              </w:tc>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Gradients for CSI Feeback</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No agreement</w:t>
                  </w:r>
                </w:p>
              </w:tc>
              <w:tc>
                <w:tcPr>
                  <w:tcW w:w="73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Relaxed</w:t>
                  </w:r>
                </w:p>
              </w:tc>
              <w:tc>
                <w:tcPr>
                  <w:tcW w:w="202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jc w:val="left"/>
                  </w:pPr>
                  <w:r>
                    <w:t>This is for backward propagation for Type 2 training</w:t>
                  </w:r>
                </w:p>
                <w:p>
                  <w:pPr>
                    <w:snapToGrid w:val="0"/>
                    <w:spacing w:before="100" w:beforeAutospacing="1" w:after="120"/>
                    <w:jc w:val="left"/>
                  </w:pPr>
                  <w:r>
                    <w:t>See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Inference</w:t>
                  </w:r>
                </w:p>
              </w:tc>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CSI Feedback</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See Note 3</w:t>
                  </w:r>
                </w:p>
              </w:tc>
              <w:tc>
                <w:tcPr>
                  <w:tcW w:w="73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Time-critical</w:t>
                  </w:r>
                </w:p>
              </w:tc>
              <w:tc>
                <w:tcPr>
                  <w:tcW w:w="202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jc w:val="left"/>
                  </w:pPr>
                  <w:r>
                    <w:t>Can use L1 report similar to legacy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45" w:type="pct"/>
                  <w:vMerge w:val="restar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pPr>
                  <w:r>
                    <w:t>Monitoring</w:t>
                  </w:r>
                </w:p>
              </w:tc>
              <w:tc>
                <w:tcPr>
                  <w:tcW w:w="809" w:type="pc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pPr>
                  <w:r>
                    <w:t>Reconstructed CSI from NW to UE</w:t>
                  </w:r>
                </w:p>
                <w:p>
                  <w:pPr>
                    <w:snapToGrid w:val="0"/>
                    <w:spacing w:before="100" w:beforeAutospacing="1" w:after="120"/>
                  </w:pPr>
                  <w:r>
                    <w:t>See Note 6</w:t>
                  </w:r>
                </w:p>
              </w:tc>
              <w:tc>
                <w:tcPr>
                  <w:tcW w:w="678" w:type="pc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pPr>
                  <w:r>
                    <w:t>No agreement; [expected to be similar to target CSI for monitoring]</w:t>
                  </w:r>
                </w:p>
              </w:tc>
              <w:tc>
                <w:tcPr>
                  <w:tcW w:w="737" w:type="pc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pPr>
                  <w:r>
                    <w:t>Near-real-time</w:t>
                  </w:r>
                </w:p>
              </w:tc>
              <w:tc>
                <w:tcPr>
                  <w:tcW w:w="2029" w:type="pct"/>
                  <w:tcBorders>
                    <w:top w:val="single" w:color="auto" w:sz="4" w:space="0"/>
                    <w:left w:val="single" w:color="auto" w:sz="4" w:space="0"/>
                    <w:right w:val="single" w:color="auto" w:sz="4" w:space="0"/>
                  </w:tcBorders>
                  <w:shd w:val="clear" w:color="auto" w:fill="auto"/>
                  <w:vAlign w:val="center"/>
                </w:tcPr>
                <w:p>
                  <w:pPr>
                    <w:snapToGrid w:val="0"/>
                    <w:spacing w:before="100" w:beforeAutospacing="1" w:after="120"/>
                    <w:jc w:val="left"/>
                  </w:pPr>
                  <w:r>
                    <w:t>This is called “UE-sided monitoring”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pct"/>
                  <w:vMerge w:val="continue"/>
                  <w:tcBorders>
                    <w:left w:val="single" w:color="auto" w:sz="4" w:space="0"/>
                    <w:right w:val="single" w:color="auto" w:sz="4" w:space="0"/>
                  </w:tcBorders>
                  <w:shd w:val="clear" w:color="auto" w:fill="auto"/>
                  <w:vAlign w:val="center"/>
                </w:tcPr>
                <w:p>
                  <w:pPr>
                    <w:snapToGrid w:val="0"/>
                    <w:spacing w:before="100" w:beforeAutospacing="1" w:after="120"/>
                  </w:pPr>
                </w:p>
              </w:tc>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Calculated performance metrics</w:t>
                  </w:r>
                </w:p>
                <w:p>
                  <w:pPr>
                    <w:snapToGrid w:val="0"/>
                    <w:spacing w:before="100" w:beforeAutospacing="1" w:after="120"/>
                  </w:pPr>
                  <w:r>
                    <w:t>See Note 6</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See Note 4</w:t>
                  </w:r>
                </w:p>
              </w:tc>
              <w:tc>
                <w:tcPr>
                  <w:tcW w:w="73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Near-real-time</w:t>
                  </w:r>
                </w:p>
              </w:tc>
              <w:tc>
                <w:tcPr>
                  <w:tcW w:w="202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jc w:val="left"/>
                  </w:pPr>
                  <w:r>
                    <w:t>This is called “UE-sided monitoring”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pct"/>
                  <w:vMerge w:val="continue"/>
                  <w:tcBorders>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p>
              </w:tc>
              <w:tc>
                <w:tcPr>
                  <w:tcW w:w="80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Target CSI</w:t>
                  </w:r>
                </w:p>
                <w:p>
                  <w:pPr>
                    <w:snapToGrid w:val="0"/>
                    <w:spacing w:before="100" w:beforeAutospacing="1" w:after="120"/>
                  </w:pPr>
                  <w:r>
                    <w:t>See Note 6</w:t>
                  </w:r>
                </w:p>
              </w:tc>
              <w:tc>
                <w:tcPr>
                  <w:tcW w:w="678"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 xml:space="preserve"> See Notes 1, 2</w:t>
                  </w:r>
                </w:p>
              </w:tc>
              <w:tc>
                <w:tcPr>
                  <w:tcW w:w="737"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pPr>
                  <w:r>
                    <w:t>Near-real-time</w:t>
                  </w:r>
                </w:p>
              </w:tc>
              <w:tc>
                <w:tcPr>
                  <w:tcW w:w="2029" w:type="pct"/>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100" w:beforeAutospacing="1" w:after="120"/>
                    <w:jc w:val="left"/>
                  </w:pPr>
                  <w:r>
                    <w:t>This is called “NW-sided monitoring” in RAN1.</w:t>
                  </w:r>
                </w:p>
              </w:tc>
            </w:tr>
          </w:tbl>
          <w:p>
            <w:pPr>
              <w:overflowPunct w:val="0"/>
              <w:autoSpaceDE w:val="0"/>
              <w:autoSpaceDN w:val="0"/>
              <w:adjustRightInd w:val="0"/>
              <w:spacing w:after="160" w:line="254" w:lineRule="auto"/>
              <w:textAlignment w:val="baseline"/>
              <w:rPr>
                <w:rFonts w:ascii="Arial" w:hAnsi="Arial" w:eastAsia="Calibri" w:cs="Arial"/>
                <w:sz w:val="22"/>
                <w:szCs w:val="22"/>
                <w:lang w:eastAsia="zh-CN"/>
              </w:rPr>
            </w:pPr>
          </w:p>
          <w:p>
            <w:pPr>
              <w:overflowPunct w:val="0"/>
              <w:autoSpaceDE w:val="0"/>
              <w:autoSpaceDN w:val="0"/>
              <w:adjustRightInd w:val="0"/>
              <w:textAlignment w:val="baseline"/>
            </w:pPr>
            <w:r>
              <w:t>Note 1: Target CSI may be precoding matrix or channel matrix. RAN1’s reply for data size is based on precoding Matrix which has been more widely evaluated than channel matrix.</w:t>
            </w:r>
          </w:p>
          <w:p>
            <w:pPr>
              <w:overflowPunct w:val="0"/>
              <w:autoSpaceDE w:val="0"/>
              <w:autoSpaceDN w:val="0"/>
              <w:adjustRightInd w:val="0"/>
              <w:textAlignment w:val="baseline"/>
            </w:pPr>
            <w:r>
              <w:t xml:space="preserve">Note 2: 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 </w:t>
            </w:r>
          </w:p>
          <w:p>
            <w:pPr>
              <w:overflowPunct w:val="0"/>
              <w:autoSpaceDE w:val="0"/>
              <w:autoSpaceDN w:val="0"/>
              <w:adjustRightInd w:val="0"/>
              <w:textAlignment w:val="baseline"/>
            </w:pPr>
            <w:r>
              <w:t>Note 3: There is no agreement on the CSI feedback size. Values in the order of eType II payload size may be assumed (up to ~ 1000 bits) for RAN2 discussion.</w:t>
            </w:r>
          </w:p>
          <w:p>
            <w:pPr>
              <w:overflowPunct w:val="0"/>
              <w:autoSpaceDE w:val="0"/>
              <w:autoSpaceDN w:val="0"/>
              <w:adjustRightInd w:val="0"/>
              <w:textAlignment w:val="baseline"/>
              <w:rPr>
                <w:rStyle w:val="89"/>
              </w:rPr>
            </w:pPr>
            <w:r>
              <w:t xml:space="preserve">Note 4: There is no agreement on the exact metric or reporting format. </w:t>
            </w:r>
            <w:r>
              <w:rPr>
                <w:rStyle w:val="89"/>
              </w:rPr>
              <w:t>An example based on companies’ evaluations is: SGCS (10s of bits)</w:t>
            </w:r>
          </w:p>
          <w:p>
            <w:pPr>
              <w:overflowPunct w:val="0"/>
              <w:autoSpaceDE w:val="0"/>
              <w:autoSpaceDN w:val="0"/>
              <w:adjustRightInd w:val="0"/>
              <w:textAlignment w:val="baseline"/>
              <w:rPr>
                <w:rStyle w:val="89"/>
              </w:rPr>
            </w:pPr>
            <w:r>
              <w:rPr>
                <w:rStyle w:val="89"/>
              </w:rPr>
              <w:t>Note 5: There are no agreements on the reporting type.</w:t>
            </w:r>
          </w:p>
          <w:p>
            <w:pPr>
              <w:overflowPunct w:val="0"/>
              <w:autoSpaceDE w:val="0"/>
              <w:autoSpaceDN w:val="0"/>
              <w:adjustRightInd w:val="0"/>
              <w:textAlignment w:val="baseline"/>
            </w:pPr>
            <w:r>
              <w:rPr>
                <w:rStyle w:val="89"/>
              </w:rPr>
              <w:t xml:space="preserve">Note 6: </w:t>
            </w:r>
            <w:r>
              <w:t>Feasibility and necessity of the monitoring schemes listed in the table are under discussion</w:t>
            </w:r>
          </w:p>
          <w:p>
            <w:pPr>
              <w:overflowPunct w:val="0"/>
              <w:autoSpaceDE w:val="0"/>
              <w:autoSpaceDN w:val="0"/>
              <w:adjustRightInd w:val="0"/>
              <w:textAlignment w:val="baseline"/>
              <w:rPr>
                <w:rFonts w:ascii="Arial" w:hAnsi="Arial" w:eastAsia="Calibri" w:cs="Arial"/>
                <w:sz w:val="22"/>
                <w:szCs w:val="22"/>
                <w:lang w:eastAsia="zh-CN"/>
              </w:rPr>
            </w:pPr>
            <w:r>
              <w:t xml:space="preserve">Note 7: </w:t>
            </w:r>
            <w:r>
              <w:rPr>
                <w:bCs/>
              </w:rPr>
              <w:t xml:space="preserve">RAN1 has agreed to </w:t>
            </w:r>
            <w:r>
              <w:t>deprioritize Type 2 training over the air interface.</w:t>
            </w:r>
          </w:p>
        </w:tc>
      </w:tr>
    </w:tbl>
    <w:p>
      <w:pPr>
        <w:pStyle w:val="14"/>
        <w:rPr>
          <w:rFonts w:hint="eastAsia" w:eastAsia="宋体" w:cs="Times New Roman"/>
          <w:szCs w:val="22"/>
          <w:lang w:val="en-US" w:eastAsia="zh-CN" w:bidi="ar-SA"/>
        </w:rPr>
      </w:pPr>
      <w:r>
        <w:rPr>
          <w:rFonts w:hint="eastAsia" w:ascii="Arial" w:hAnsi="Arial" w:eastAsia="宋体" w:cs="Times New Roman"/>
          <w:szCs w:val="22"/>
          <w:lang w:val="en-US" w:eastAsia="zh-CN" w:bidi="ar-SA"/>
        </w:rPr>
        <w:t xml:space="preserve">Related to data collection, it is also important to refer to the tables on the mapping of functions to entities that were discussed in </w:t>
      </w:r>
      <w:r>
        <w:rPr>
          <w:rFonts w:hint="eastAsia" w:ascii="Arial" w:hAnsi="Arial" w:eastAsia="宋体" w:cs="Times New Roman"/>
          <w:szCs w:val="22"/>
          <w:lang w:val="en-US" w:eastAsia="zh-CN" w:bidi="ar-SA"/>
        </w:rPr>
        <w:fldChar w:fldCharType="begin"/>
      </w:r>
      <w:r>
        <w:rPr>
          <w:rFonts w:hint="eastAsia" w:ascii="Arial" w:hAnsi="Arial" w:eastAsia="宋体" w:cs="Times New Roman"/>
          <w:szCs w:val="22"/>
          <w:lang w:val="en-US" w:eastAsia="zh-CN" w:bidi="ar-SA"/>
        </w:rPr>
        <w:instrText xml:space="preserve"> HYPERLINK "http://www.3gpp.org/ftp//tsg_ran/WG2_RL2/TSGR2_123/Docs//R2-2308286.zip" </w:instrText>
      </w:r>
      <w:r>
        <w:rPr>
          <w:rFonts w:hint="eastAsia" w:ascii="Arial" w:hAnsi="Arial" w:eastAsia="宋体" w:cs="Times New Roman"/>
          <w:szCs w:val="22"/>
          <w:lang w:val="en-US" w:eastAsia="zh-CN" w:bidi="ar-SA"/>
        </w:rPr>
        <w:fldChar w:fldCharType="separate"/>
      </w:r>
      <w:r>
        <w:rPr>
          <w:rFonts w:hint="eastAsia" w:ascii="Arial" w:hAnsi="Arial" w:eastAsia="宋体" w:cs="Times New Roman"/>
          <w:szCs w:val="22"/>
          <w:lang w:val="en-US" w:eastAsia="zh-CN" w:bidi="ar-SA"/>
        </w:rPr>
        <w:t>R2-2308286</w:t>
      </w:r>
      <w:r>
        <w:rPr>
          <w:rFonts w:hint="eastAsia" w:ascii="Arial" w:hAnsi="Arial" w:eastAsia="宋体" w:cs="Times New Roman"/>
          <w:szCs w:val="22"/>
          <w:lang w:val="en-US" w:eastAsia="zh-CN" w:bidi="ar-SA"/>
        </w:rPr>
        <w:fldChar w:fldCharType="end"/>
      </w:r>
      <w:r>
        <w:rPr>
          <w:rFonts w:hint="eastAsia" w:ascii="Arial" w:hAnsi="Arial" w:eastAsia="宋体" w:cs="Times New Roman"/>
          <w:szCs w:val="22"/>
          <w:lang w:val="en-US" w:eastAsia="zh-CN" w:bidi="ar-SA"/>
        </w:rPr>
        <w:t xml:space="preserve"> and agreed in the last RAN2#123</w:t>
      </w:r>
      <w:r>
        <w:rPr>
          <w:rFonts w:hint="eastAsia" w:eastAsia="宋体" w:cs="Times New Roman"/>
          <w:szCs w:val="22"/>
          <w:lang w:val="en-US" w:eastAsia="zh-CN" w:bidi="ar-SA"/>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167"/>
        <w:gridCol w:w="5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overflowPunct w:val="0"/>
              <w:autoSpaceDE w:val="0"/>
              <w:autoSpaceDN w:val="0"/>
              <w:adjustRightInd w:val="0"/>
              <w:spacing w:after="0" w:line="240" w:lineRule="auto"/>
              <w:jc w:val="center"/>
              <w:textAlignment w:val="baseline"/>
              <w:rPr>
                <w:rFonts w:ascii="Arial" w:hAnsi="Arial" w:eastAsia="宋体" w:cs="Arial"/>
                <w:lang w:val="en-US" w:eastAsia="zh-CN"/>
              </w:rPr>
            </w:pPr>
          </w:p>
        </w:tc>
        <w:tc>
          <w:tcPr>
            <w:tcW w:w="3167" w:type="dxa"/>
            <w:vAlign w:val="center"/>
          </w:tcPr>
          <w:p>
            <w:pPr>
              <w:overflowPunct w:val="0"/>
              <w:autoSpaceDE w:val="0"/>
              <w:autoSpaceDN w:val="0"/>
              <w:adjustRightInd w:val="0"/>
              <w:spacing w:after="0" w:line="240" w:lineRule="auto"/>
              <w:jc w:val="center"/>
              <w:textAlignment w:val="baseline"/>
              <w:rPr>
                <w:rFonts w:ascii="Arial" w:hAnsi="Arial" w:eastAsia="宋体" w:cs="Arial"/>
                <w:b/>
                <w:bCs/>
                <w:lang w:val="en-US" w:eastAsia="zh-CN"/>
              </w:rPr>
            </w:pPr>
            <w:r>
              <w:rPr>
                <w:rFonts w:ascii="Arial" w:hAnsi="Arial" w:eastAsia="宋体" w:cs="Arial"/>
                <w:b/>
                <w:bCs/>
                <w:lang w:val="en-US" w:eastAsia="zh-CN"/>
              </w:rPr>
              <w:t>AL/ML functions (if applicable)</w:t>
            </w:r>
          </w:p>
        </w:tc>
        <w:tc>
          <w:tcPr>
            <w:tcW w:w="5637" w:type="dxa"/>
            <w:vAlign w:val="center"/>
          </w:tcPr>
          <w:p>
            <w:pPr>
              <w:overflowPunct w:val="0"/>
              <w:autoSpaceDE w:val="0"/>
              <w:autoSpaceDN w:val="0"/>
              <w:adjustRightInd w:val="0"/>
              <w:spacing w:after="0" w:line="240" w:lineRule="auto"/>
              <w:jc w:val="center"/>
              <w:textAlignment w:val="baseline"/>
              <w:rPr>
                <w:rFonts w:ascii="Arial" w:hAnsi="Arial" w:eastAsia="宋体" w:cs="Arial"/>
                <w:b/>
                <w:bCs/>
                <w:lang w:val="en-US" w:eastAsia="zh-CN"/>
              </w:rPr>
            </w:pPr>
            <w:r>
              <w:rPr>
                <w:rFonts w:ascii="Arial" w:hAnsi="Arial" w:eastAsia="宋体" w:cs="Arial"/>
                <w:b/>
                <w:bCs/>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overflowPunct w:val="0"/>
              <w:autoSpaceDE w:val="0"/>
              <w:autoSpaceDN w:val="0"/>
              <w:adjustRightInd w:val="0"/>
              <w:spacing w:after="0" w:line="240" w:lineRule="auto"/>
              <w:jc w:val="center"/>
              <w:textAlignment w:val="baseline"/>
              <w:rPr>
                <w:rFonts w:ascii="Arial" w:hAnsi="Arial" w:eastAsia="宋体" w:cs="Arial"/>
                <w:lang w:val="en-US" w:eastAsia="zh-CN"/>
              </w:rPr>
            </w:pPr>
            <w:r>
              <w:rPr>
                <w:rFonts w:ascii="Arial" w:hAnsi="Arial" w:eastAsia="宋体" w:cs="Arial"/>
                <w:lang w:val="en-US" w:eastAsia="zh-CN"/>
              </w:rPr>
              <w:t>a)</w:t>
            </w:r>
          </w:p>
        </w:tc>
        <w:tc>
          <w:tcPr>
            <w:tcW w:w="3167" w:type="dxa"/>
            <w:vAlign w:val="center"/>
          </w:tcPr>
          <w:p>
            <w:pPr>
              <w:overflowPunct w:val="0"/>
              <w:autoSpaceDE w:val="0"/>
              <w:autoSpaceDN w:val="0"/>
              <w:adjustRightInd w:val="0"/>
              <w:spacing w:after="0" w:line="240" w:lineRule="auto"/>
              <w:jc w:val="center"/>
              <w:textAlignment w:val="baseline"/>
              <w:rPr>
                <w:rFonts w:ascii="Arial" w:hAnsi="Arial" w:eastAsia="宋体" w:cs="Arial"/>
                <w:lang w:val="en-US" w:eastAsia="zh-CN"/>
              </w:rPr>
            </w:pPr>
            <w:r>
              <w:rPr>
                <w:rFonts w:ascii="Arial" w:hAnsi="Arial" w:eastAsia="宋体" w:cs="Arial"/>
                <w:lang w:val="en-US" w:eastAsia="zh-CN"/>
              </w:rPr>
              <w:t>Model training</w:t>
            </w:r>
            <w:r>
              <w:rPr>
                <w:rFonts w:hint="eastAsia" w:ascii="Arial" w:hAnsi="Arial" w:eastAsia="宋体" w:cs="Arial"/>
                <w:lang w:val="en-US" w:eastAsia="zh-CN"/>
              </w:rPr>
              <w:t>(offline training)</w:t>
            </w:r>
          </w:p>
        </w:tc>
        <w:tc>
          <w:tcPr>
            <w:tcW w:w="5637" w:type="dxa"/>
            <w:vAlign w:val="center"/>
          </w:tcPr>
          <w:p>
            <w:pPr>
              <w:overflowPunct w:val="0"/>
              <w:autoSpaceDE w:val="0"/>
              <w:autoSpaceDN w:val="0"/>
              <w:adjustRightInd w:val="0"/>
              <w:spacing w:after="0" w:line="240" w:lineRule="auto"/>
              <w:jc w:val="center"/>
              <w:textAlignment w:val="baseline"/>
              <w:rPr>
                <w:rFonts w:ascii="Arial" w:hAnsi="Arial" w:eastAsia="宋体" w:cs="Arial"/>
                <w:lang w:val="en-US" w:eastAsia="zh-CN"/>
              </w:rPr>
            </w:pPr>
            <w:r>
              <w:rPr>
                <w:rFonts w:ascii="Arial" w:hAnsi="Arial" w:eastAsia="宋体" w:cs="Arial"/>
                <w:lang w:val="en-US" w:eastAsia="zh-CN"/>
              </w:rPr>
              <w:t>gNB, OAM, OTT server</w:t>
            </w:r>
            <w:r>
              <w:rPr>
                <w:rFonts w:hint="eastAsia" w:ascii="Arial" w:hAnsi="Arial" w:eastAsia="宋体" w:cs="Arial"/>
                <w:lang w:val="en-US" w:eastAsia="zh-CN"/>
              </w:rPr>
              <w:t>, UE, [FFS: 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overflowPunct w:val="0"/>
              <w:autoSpaceDE w:val="0"/>
              <w:autoSpaceDN w:val="0"/>
              <w:adjustRightInd w:val="0"/>
              <w:spacing w:after="0" w:line="240" w:lineRule="auto"/>
              <w:jc w:val="center"/>
              <w:textAlignment w:val="baseline"/>
              <w:rPr>
                <w:rFonts w:ascii="Arial" w:hAnsi="Arial" w:eastAsia="宋体" w:cs="Arial"/>
                <w:lang w:val="en-US" w:eastAsia="zh-CN"/>
              </w:rPr>
            </w:pPr>
            <w:r>
              <w:rPr>
                <w:rFonts w:ascii="Arial" w:hAnsi="Arial" w:eastAsia="宋体" w:cs="Arial"/>
                <w:lang w:val="en-US" w:eastAsia="zh-CN"/>
              </w:rPr>
              <w:t>b)</w:t>
            </w:r>
          </w:p>
        </w:tc>
        <w:tc>
          <w:tcPr>
            <w:tcW w:w="3167" w:type="dxa"/>
            <w:vAlign w:val="center"/>
          </w:tcPr>
          <w:p>
            <w:pPr>
              <w:overflowPunct w:val="0"/>
              <w:autoSpaceDE w:val="0"/>
              <w:autoSpaceDN w:val="0"/>
              <w:adjustRightInd w:val="0"/>
              <w:spacing w:after="0" w:line="240" w:lineRule="auto"/>
              <w:jc w:val="center"/>
              <w:textAlignment w:val="baseline"/>
              <w:rPr>
                <w:rFonts w:ascii="Arial" w:hAnsi="Arial" w:eastAsia="宋体" w:cs="Arial"/>
                <w:bCs/>
                <w:lang w:val="en-US" w:eastAsia="zh-CN"/>
              </w:rPr>
            </w:pPr>
            <w:r>
              <w:rPr>
                <w:rFonts w:ascii="Arial" w:hAnsi="Arial" w:eastAsia="宋体" w:cs="Arial"/>
                <w:bCs/>
                <w:kern w:val="2"/>
                <w:lang w:val="en-US" w:eastAsia="zh-CN"/>
              </w:rPr>
              <w:t>Model transfer/delivery</w:t>
            </w:r>
          </w:p>
        </w:tc>
        <w:tc>
          <w:tcPr>
            <w:tcW w:w="5637" w:type="dxa"/>
            <w:vAlign w:val="center"/>
          </w:tcPr>
          <w:p>
            <w:pPr>
              <w:overflowPunct w:val="0"/>
              <w:autoSpaceDE w:val="0"/>
              <w:autoSpaceDN w:val="0"/>
              <w:adjustRightInd w:val="0"/>
              <w:spacing w:after="0" w:line="240" w:lineRule="auto"/>
              <w:textAlignment w:val="baseline"/>
              <w:rPr>
                <w:rFonts w:ascii="Arial" w:hAnsi="Arial" w:eastAsia="宋体" w:cs="Arial"/>
                <w:lang w:val="en-US" w:eastAsia="zh-CN"/>
              </w:rPr>
            </w:pPr>
            <w:r>
              <w:rPr>
                <w:rFonts w:ascii="Arial" w:hAnsi="Arial" w:eastAsia="宋体" w:cs="Arial"/>
                <w:lang w:val="en-US" w:eastAsia="zh-CN"/>
              </w:rPr>
              <w:t xml:space="preserve">For training Type 1: gNB-&gt;UE, </w:t>
            </w:r>
            <w:r>
              <w:rPr>
                <w:rFonts w:hint="eastAsia" w:ascii="Arial" w:hAnsi="Arial" w:eastAsia="宋体" w:cs="Arial"/>
                <w:lang w:val="en-US" w:eastAsia="zh-CN"/>
              </w:rPr>
              <w:t xml:space="preserve">or OAM-&gt;gNB&amp;UE, </w:t>
            </w:r>
            <w:r>
              <w:rPr>
                <w:rFonts w:ascii="Arial" w:hAnsi="Arial" w:eastAsia="宋体" w:cs="Arial"/>
                <w:lang w:val="en-US" w:eastAsia="zh-CN"/>
              </w:rPr>
              <w:t>or OTT server-&gt;gNB</w:t>
            </w:r>
            <w:r>
              <w:rPr>
                <w:rFonts w:hint="eastAsia" w:ascii="Arial" w:hAnsi="Arial" w:eastAsia="宋体" w:cs="Arial"/>
                <w:lang w:val="en-US" w:eastAsia="zh-CN"/>
              </w:rPr>
              <w:t>&amp;UE, or UE-&gt;gNB, [FFS: CN-&gt;gNB&amp;UE]</w:t>
            </w:r>
          </w:p>
          <w:p>
            <w:pPr>
              <w:overflowPunct w:val="0"/>
              <w:autoSpaceDE w:val="0"/>
              <w:autoSpaceDN w:val="0"/>
              <w:adjustRightInd w:val="0"/>
              <w:spacing w:after="0" w:line="240" w:lineRule="auto"/>
              <w:textAlignment w:val="baseline"/>
              <w:rPr>
                <w:rFonts w:ascii="Arial" w:hAnsi="Arial" w:eastAsia="宋体" w:cs="Arial"/>
                <w:lang w:val="en-US" w:eastAsia="zh-CN"/>
              </w:rPr>
            </w:pPr>
            <w:r>
              <w:rPr>
                <w:rFonts w:ascii="Arial" w:hAnsi="Arial" w:eastAsia="宋体" w:cs="Arial"/>
                <w:lang w:val="en-US" w:eastAsia="zh-CN"/>
              </w:rPr>
              <w:t xml:space="preserve">For training Type 3: </w:t>
            </w:r>
          </w:p>
          <w:p>
            <w:pPr>
              <w:numPr>
                <w:ilvl w:val="0"/>
                <w:numId w:val="5"/>
              </w:numPr>
              <w:overflowPunct w:val="0"/>
              <w:autoSpaceDE w:val="0"/>
              <w:autoSpaceDN w:val="0"/>
              <w:adjustRightInd w:val="0"/>
              <w:spacing w:after="0" w:line="240" w:lineRule="auto"/>
              <w:textAlignment w:val="baseline"/>
              <w:rPr>
                <w:rFonts w:ascii="Arial" w:hAnsi="Arial" w:eastAsia="宋体" w:cs="Arial"/>
                <w:lang w:val="en-US" w:eastAsia="zh-CN"/>
              </w:rPr>
            </w:pPr>
            <w:r>
              <w:rPr>
                <w:rFonts w:hint="eastAsia" w:ascii="Arial" w:hAnsi="Arial" w:eastAsia="宋体" w:cs="Arial"/>
                <w:lang w:val="en-US" w:eastAsia="zh-CN"/>
              </w:rPr>
              <w:t xml:space="preserve">For UE part of two-sided model: OTT server-&gt;UE, [FFS: CN-&gt;UE]; </w:t>
            </w:r>
          </w:p>
          <w:p>
            <w:pPr>
              <w:numPr>
                <w:ilvl w:val="0"/>
                <w:numId w:val="5"/>
              </w:numPr>
              <w:overflowPunct w:val="0"/>
              <w:autoSpaceDE w:val="0"/>
              <w:autoSpaceDN w:val="0"/>
              <w:adjustRightInd w:val="0"/>
              <w:spacing w:after="0" w:line="240" w:lineRule="auto"/>
              <w:textAlignment w:val="baseline"/>
              <w:rPr>
                <w:rFonts w:ascii="Arial" w:hAnsi="Arial" w:eastAsia="宋体" w:cs="Arial"/>
                <w:lang w:val="en-US" w:eastAsia="zh-CN"/>
              </w:rPr>
            </w:pPr>
            <w:r>
              <w:rPr>
                <w:rFonts w:hint="eastAsia" w:ascii="Arial" w:hAnsi="Arial" w:eastAsia="宋体" w:cs="Arial"/>
                <w:lang w:val="en-US" w:eastAsia="zh-CN"/>
              </w:rPr>
              <w:t xml:space="preserve">For NW part of two-sided model: OAM-&gt;gNB, [FFS: CN-&gt;gNB];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overflowPunct w:val="0"/>
              <w:autoSpaceDE w:val="0"/>
              <w:autoSpaceDN w:val="0"/>
              <w:adjustRightInd w:val="0"/>
              <w:spacing w:after="0" w:line="240" w:lineRule="auto"/>
              <w:jc w:val="center"/>
              <w:textAlignment w:val="baseline"/>
              <w:rPr>
                <w:rFonts w:ascii="Arial" w:hAnsi="Arial" w:eastAsia="宋体" w:cs="Arial"/>
                <w:lang w:val="en-US" w:eastAsia="zh-CN"/>
              </w:rPr>
            </w:pPr>
            <w:r>
              <w:rPr>
                <w:rFonts w:ascii="Arial" w:hAnsi="Arial" w:eastAsia="宋体" w:cs="Arial"/>
                <w:lang w:val="en-US" w:eastAsia="zh-CN"/>
              </w:rPr>
              <w:t>c)</w:t>
            </w:r>
          </w:p>
        </w:tc>
        <w:tc>
          <w:tcPr>
            <w:tcW w:w="3167" w:type="dxa"/>
            <w:vAlign w:val="center"/>
          </w:tcPr>
          <w:p>
            <w:pPr>
              <w:overflowPunct w:val="0"/>
              <w:autoSpaceDE w:val="0"/>
              <w:autoSpaceDN w:val="0"/>
              <w:adjustRightInd w:val="0"/>
              <w:spacing w:after="0" w:line="240" w:lineRule="auto"/>
              <w:jc w:val="center"/>
              <w:textAlignment w:val="baseline"/>
              <w:rPr>
                <w:rFonts w:ascii="Arial" w:hAnsi="Arial" w:eastAsia="宋体" w:cs="Arial"/>
                <w:bCs/>
                <w:lang w:val="en-US" w:eastAsia="zh-CN"/>
              </w:rPr>
            </w:pPr>
            <w:r>
              <w:rPr>
                <w:rFonts w:hint="eastAsia" w:ascii="Arial" w:hAnsi="Arial" w:eastAsia="宋体" w:cs="Arial"/>
                <w:bCs/>
                <w:kern w:val="2"/>
                <w:lang w:val="en-US" w:eastAsia="zh-CN"/>
              </w:rPr>
              <w:t>I</w:t>
            </w:r>
            <w:r>
              <w:rPr>
                <w:rFonts w:ascii="Arial" w:hAnsi="Arial" w:eastAsia="宋体" w:cs="Arial"/>
                <w:bCs/>
                <w:kern w:val="2"/>
                <w:lang w:val="en-US" w:eastAsia="zh-CN"/>
              </w:rPr>
              <w:t>nference</w:t>
            </w:r>
          </w:p>
        </w:tc>
        <w:tc>
          <w:tcPr>
            <w:tcW w:w="5637" w:type="dxa"/>
            <w:vAlign w:val="center"/>
          </w:tcPr>
          <w:p>
            <w:pPr>
              <w:overflowPunct w:val="0"/>
              <w:autoSpaceDE w:val="0"/>
              <w:autoSpaceDN w:val="0"/>
              <w:adjustRightInd w:val="0"/>
              <w:spacing w:after="0" w:line="240" w:lineRule="auto"/>
              <w:jc w:val="center"/>
              <w:textAlignment w:val="baseline"/>
              <w:rPr>
                <w:rFonts w:ascii="Arial" w:hAnsi="Arial" w:eastAsia="宋体" w:cs="Arial"/>
                <w:kern w:val="2"/>
                <w:lang w:val="en-US" w:eastAsia="zh-CN"/>
              </w:rPr>
            </w:pPr>
            <w:r>
              <w:rPr>
                <w:rFonts w:ascii="Arial" w:hAnsi="Arial" w:eastAsia="宋体" w:cs="Arial"/>
                <w:kern w:val="2"/>
                <w:lang w:val="en-US" w:eastAsia="zh-CN"/>
              </w:rPr>
              <w:t>NW</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gNB</w:t>
            </w:r>
          </w:p>
          <w:p>
            <w:pPr>
              <w:overflowPunct w:val="0"/>
              <w:autoSpaceDE w:val="0"/>
              <w:autoSpaceDN w:val="0"/>
              <w:adjustRightInd w:val="0"/>
              <w:spacing w:after="0" w:line="240" w:lineRule="auto"/>
              <w:jc w:val="center"/>
              <w:textAlignment w:val="baseline"/>
              <w:rPr>
                <w:rFonts w:ascii="Arial" w:hAnsi="Arial" w:eastAsia="宋体" w:cs="Arial"/>
                <w:lang w:val="en-US" w:eastAsia="zh-CN"/>
              </w:rPr>
            </w:pPr>
            <w:r>
              <w:rPr>
                <w:rFonts w:ascii="Arial" w:hAnsi="Arial" w:eastAsia="宋体" w:cs="Arial"/>
                <w:kern w:val="2"/>
                <w:lang w:val="en-US" w:eastAsia="zh-CN"/>
              </w:rPr>
              <w:t>UE</w:t>
            </w:r>
            <w:r>
              <w:rPr>
                <w:rFonts w:hint="eastAsia" w:ascii="Arial" w:hAnsi="Arial" w:eastAsia="宋体" w:cs="Arial"/>
                <w:kern w:val="2"/>
                <w:lang w:val="en-US" w:eastAsia="zh-CN"/>
              </w:rPr>
              <w:t xml:space="preserve"> </w:t>
            </w:r>
            <w:r>
              <w:rPr>
                <w:rFonts w:hint="eastAsia" w:ascii="Arial" w:hAnsi="Arial" w:eastAsia="宋体" w:cs="Arial"/>
                <w:lang w:val="en-US" w:eastAsia="zh-CN"/>
              </w:rPr>
              <w:t>part of two-sided model</w:t>
            </w:r>
            <w:r>
              <w:rPr>
                <w:rFonts w:ascii="Arial" w:hAnsi="Arial" w:eastAsia="宋体" w:cs="Arial"/>
                <w:kern w:val="2"/>
                <w:lang w:val="en-US" w:eastAsia="zh-CN"/>
              </w:rPr>
              <w: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overflowPunct w:val="0"/>
              <w:autoSpaceDE w:val="0"/>
              <w:autoSpaceDN w:val="0"/>
              <w:adjustRightInd w:val="0"/>
              <w:spacing w:after="0" w:line="240" w:lineRule="auto"/>
              <w:jc w:val="center"/>
              <w:textAlignment w:val="baseline"/>
              <w:rPr>
                <w:rFonts w:ascii="Arial" w:hAnsi="Arial" w:eastAsia="宋体" w:cs="Arial"/>
                <w:lang w:val="en-US" w:eastAsia="zh-CN"/>
              </w:rPr>
            </w:pPr>
            <w:r>
              <w:rPr>
                <w:rFonts w:ascii="Arial" w:hAnsi="Arial" w:eastAsia="宋体" w:cs="Arial"/>
                <w:lang w:val="en-US" w:eastAsia="zh-CN"/>
              </w:rPr>
              <w:t>d)</w:t>
            </w:r>
          </w:p>
        </w:tc>
        <w:tc>
          <w:tcPr>
            <w:tcW w:w="3167" w:type="dxa"/>
            <w:vAlign w:val="center"/>
          </w:tcPr>
          <w:p>
            <w:pPr>
              <w:overflowPunct w:val="0"/>
              <w:autoSpaceDE w:val="0"/>
              <w:autoSpaceDN w:val="0"/>
              <w:adjustRightInd w:val="0"/>
              <w:spacing w:after="0" w:line="240" w:lineRule="auto"/>
              <w:jc w:val="center"/>
              <w:textAlignment w:val="baseline"/>
              <w:rPr>
                <w:rFonts w:ascii="Arial" w:hAnsi="Arial" w:eastAsia="宋体" w:cs="Arial"/>
                <w:bCs/>
                <w:lang w:val="en-US" w:eastAsia="zh-CN"/>
              </w:rPr>
            </w:pPr>
            <w:r>
              <w:rPr>
                <w:rFonts w:ascii="Arial" w:hAnsi="Arial" w:eastAsia="宋体" w:cs="Arial"/>
                <w:bCs/>
                <w:kern w:val="2"/>
                <w:lang w:val="en-US" w:eastAsia="zh-CN"/>
              </w:rPr>
              <w:t>Model/functionality monitoring</w:t>
            </w:r>
          </w:p>
        </w:tc>
        <w:tc>
          <w:tcPr>
            <w:tcW w:w="5637" w:type="dxa"/>
            <w:vAlign w:val="center"/>
          </w:tcPr>
          <w:p>
            <w:pPr>
              <w:overflowPunct w:val="0"/>
              <w:autoSpaceDE w:val="0"/>
              <w:autoSpaceDN w:val="0"/>
              <w:adjustRightInd w:val="0"/>
              <w:spacing w:after="0" w:line="240" w:lineRule="auto"/>
              <w:jc w:val="center"/>
              <w:textAlignment w:val="baseline"/>
              <w:rPr>
                <w:rFonts w:ascii="Arial" w:hAnsi="Arial" w:eastAsia="宋体" w:cs="Arial"/>
                <w:kern w:val="2"/>
                <w:lang w:val="en-US" w:eastAsia="zh-CN"/>
              </w:rPr>
            </w:pPr>
            <w:r>
              <w:rPr>
                <w:rFonts w:ascii="Arial" w:hAnsi="Arial" w:eastAsia="宋体" w:cs="Arial"/>
                <w:kern w:val="2"/>
                <w:lang w:val="en-US" w:eastAsia="zh-CN"/>
              </w:rPr>
              <w:t xml:space="preserve">NW-side: </w:t>
            </w:r>
            <w:r>
              <w:rPr>
                <w:rFonts w:hint="eastAsia" w:ascii="Arial" w:hAnsi="Arial" w:eastAsia="宋体" w:cs="Arial"/>
                <w:kern w:val="2"/>
                <w:lang w:val="en-US" w:eastAsia="zh-CN"/>
              </w:rPr>
              <w:t>NW monitors the performance</w:t>
            </w:r>
          </w:p>
          <w:p>
            <w:pPr>
              <w:overflowPunct w:val="0"/>
              <w:autoSpaceDE w:val="0"/>
              <w:autoSpaceDN w:val="0"/>
              <w:adjustRightInd w:val="0"/>
              <w:spacing w:after="0" w:line="240" w:lineRule="auto"/>
              <w:jc w:val="center"/>
              <w:textAlignment w:val="baseline"/>
              <w:rPr>
                <w:rFonts w:ascii="Arial" w:hAnsi="Arial" w:eastAsia="宋体" w:cs="Arial"/>
                <w:lang w:val="en-US" w:eastAsia="zh-CN"/>
              </w:rPr>
            </w:pPr>
            <w:r>
              <w:rPr>
                <w:rFonts w:ascii="Arial" w:hAnsi="Arial" w:eastAsia="宋体" w:cs="Arial"/>
                <w:kern w:val="2"/>
                <w:lang w:val="en-US" w:eastAsia="zh-CN"/>
              </w:rPr>
              <w:t>UE-side: UE</w:t>
            </w:r>
            <w:r>
              <w:rPr>
                <w:rFonts w:hint="eastAsia" w:ascii="Arial" w:hAnsi="Arial" w:eastAsia="宋体" w:cs="Arial"/>
                <w:kern w:val="2"/>
                <w:lang w:val="en-US" w:eastAsia="zh-CN"/>
              </w:rPr>
              <w:t xml:space="preserve"> monitors the performance and </w:t>
            </w:r>
            <w:r>
              <w:rPr>
                <w:rFonts w:hint="eastAsia" w:eastAsia="宋体" w:cs="Arial"/>
                <w:kern w:val="2"/>
                <w:lang w:val="en-US" w:eastAsia="zh-CN"/>
              </w:rPr>
              <w:t xml:space="preserve">may </w:t>
            </w:r>
            <w:r>
              <w:rPr>
                <w:rFonts w:hint="eastAsia" w:ascii="Arial" w:hAnsi="Arial" w:eastAsia="宋体" w:cs="Arial"/>
                <w:kern w:val="2"/>
                <w:lang w:val="en-US" w:eastAsia="zh-CN"/>
              </w:rPr>
              <w:t>reports to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overflowPunct w:val="0"/>
              <w:autoSpaceDE w:val="0"/>
              <w:autoSpaceDN w:val="0"/>
              <w:adjustRightInd w:val="0"/>
              <w:spacing w:after="0" w:line="240" w:lineRule="auto"/>
              <w:jc w:val="center"/>
              <w:textAlignment w:val="baseline"/>
              <w:rPr>
                <w:rFonts w:ascii="Arial" w:hAnsi="Arial" w:eastAsia="宋体" w:cs="Arial"/>
                <w:lang w:val="en-US" w:eastAsia="zh-CN"/>
              </w:rPr>
            </w:pPr>
            <w:r>
              <w:rPr>
                <w:rFonts w:ascii="Arial" w:hAnsi="Arial" w:eastAsia="宋体" w:cs="Arial"/>
                <w:lang w:val="en-US" w:eastAsia="zh-CN"/>
              </w:rPr>
              <w:t>e)</w:t>
            </w:r>
          </w:p>
        </w:tc>
        <w:tc>
          <w:tcPr>
            <w:tcW w:w="3167" w:type="dxa"/>
            <w:vAlign w:val="center"/>
          </w:tcPr>
          <w:p>
            <w:pPr>
              <w:overflowPunct w:val="0"/>
              <w:autoSpaceDE w:val="0"/>
              <w:autoSpaceDN w:val="0"/>
              <w:adjustRightInd w:val="0"/>
              <w:spacing w:after="0" w:line="240" w:lineRule="auto"/>
              <w:jc w:val="center"/>
              <w:textAlignment w:val="baseline"/>
              <w:rPr>
                <w:rFonts w:ascii="Arial" w:hAnsi="Arial" w:eastAsia="宋体" w:cs="Arial"/>
                <w:bCs/>
                <w:kern w:val="2"/>
                <w:lang w:val="en-US" w:eastAsia="zh-CN"/>
              </w:rPr>
            </w:pPr>
            <w:r>
              <w:rPr>
                <w:rFonts w:ascii="Arial" w:hAnsi="Arial" w:eastAsia="宋体" w:cs="Arial"/>
                <w:bCs/>
                <w:kern w:val="2"/>
                <w:lang w:val="en-US" w:eastAsia="zh-CN"/>
              </w:rPr>
              <w:t xml:space="preserve">Model/functionality control (selection, (de)activation, switching, </w:t>
            </w:r>
            <w:r>
              <w:rPr>
                <w:rFonts w:hint="eastAsia" w:ascii="Arial" w:hAnsi="Arial" w:eastAsia="宋体" w:cs="Arial"/>
                <w:bCs/>
                <w:kern w:val="2"/>
                <w:lang w:val="en-US" w:eastAsia="zh-CN"/>
              </w:rPr>
              <w:t xml:space="preserve">updating, </w:t>
            </w:r>
            <w:r>
              <w:rPr>
                <w:rFonts w:ascii="Arial" w:hAnsi="Arial" w:eastAsia="宋体" w:cs="Arial"/>
                <w:bCs/>
                <w:kern w:val="2"/>
                <w:lang w:val="en-US" w:eastAsia="zh-CN"/>
              </w:rPr>
              <w:t>fallback)</w:t>
            </w:r>
          </w:p>
        </w:tc>
        <w:tc>
          <w:tcPr>
            <w:tcW w:w="5637" w:type="dxa"/>
            <w:vAlign w:val="center"/>
          </w:tcPr>
          <w:p>
            <w:pPr>
              <w:overflowPunct w:val="0"/>
              <w:autoSpaceDE w:val="0"/>
              <w:autoSpaceDN w:val="0"/>
              <w:adjustRightInd w:val="0"/>
              <w:spacing w:after="0" w:line="240" w:lineRule="auto"/>
              <w:jc w:val="center"/>
              <w:textAlignment w:val="baseline"/>
              <w:rPr>
                <w:rFonts w:ascii="Arial" w:hAnsi="Arial" w:eastAsia="宋体" w:cs="Arial"/>
                <w:kern w:val="2"/>
                <w:lang w:val="en-US" w:eastAsia="zh-CN"/>
              </w:rPr>
            </w:pPr>
            <w:r>
              <w:rPr>
                <w:rFonts w:ascii="Arial" w:hAnsi="Arial" w:eastAsia="宋体" w:cs="Arial"/>
                <w:kern w:val="2"/>
                <w:lang w:val="en-US" w:eastAsia="zh-CN"/>
              </w:rPr>
              <w:t>gNB</w:t>
            </w:r>
            <w:r>
              <w:rPr>
                <w:rFonts w:hint="eastAsia" w:ascii="Arial" w:hAnsi="Arial" w:eastAsia="宋体" w:cs="Arial"/>
                <w:kern w:val="2"/>
                <w:lang w:val="en-US" w:eastAsia="zh-CN"/>
              </w:rPr>
              <w:t>, [FFS: UE]</w:t>
            </w:r>
          </w:p>
        </w:tc>
      </w:tr>
    </w:tbl>
    <w:p>
      <w:pPr>
        <w:pStyle w:val="14"/>
        <w:rPr>
          <w:rFonts w:hint="eastAsia" w:eastAsia="宋体"/>
          <w:szCs w:val="18"/>
          <w:lang w:val="en-US" w:eastAsia="zh-CN"/>
        </w:rPr>
      </w:pPr>
      <w:r>
        <w:rPr>
          <w:rFonts w:hint="eastAsia" w:ascii="Arial" w:hAnsi="Arial" w:eastAsia="宋体" w:cs="Times New Roman"/>
          <w:szCs w:val="22"/>
          <w:lang w:val="en-US" w:eastAsia="zh-CN" w:bidi="ar-SA"/>
        </w:rPr>
        <w:t>The agreed entities for training  include gNB, OAM, OTT server, UE.</w:t>
      </w:r>
      <w:r>
        <w:rPr>
          <w:rFonts w:hint="eastAsia" w:eastAsia="宋体" w:cs="Times New Roman"/>
          <w:szCs w:val="22"/>
          <w:lang w:val="en-US" w:eastAsia="zh-CN" w:bidi="ar-SA"/>
        </w:rPr>
        <w:t xml:space="preserve"> </w:t>
      </w:r>
      <w:r>
        <w:rPr>
          <w:rFonts w:hint="eastAsia" w:eastAsia="宋体"/>
          <w:lang w:val="en-US" w:eastAsia="zh-CN"/>
        </w:rPr>
        <w:t>It is known that the channel state is complex and variable, with many scenarios. When it comes to the</w:t>
      </w:r>
      <w:r>
        <w:rPr>
          <w:szCs w:val="18"/>
        </w:rPr>
        <w:t xml:space="preserve"> training</w:t>
      </w:r>
      <w:r>
        <w:rPr>
          <w:rFonts w:hint="eastAsia" w:eastAsia="宋体"/>
          <w:szCs w:val="18"/>
          <w:lang w:val="en-US" w:eastAsia="zh-CN"/>
        </w:rPr>
        <w:t xml:space="preserve"> </w:t>
      </w:r>
      <w:r>
        <w:rPr>
          <w:szCs w:val="18"/>
        </w:rPr>
        <w:t xml:space="preserve">of the two-sided model at </w:t>
      </w:r>
      <w:r>
        <w:rPr>
          <w:rFonts w:hint="eastAsia" w:eastAsia="宋体"/>
          <w:szCs w:val="18"/>
          <w:lang w:val="en-US" w:eastAsia="zh-CN"/>
        </w:rPr>
        <w:t>UE, the scenarios of training data may be limited. Besides, the battery and storage of UE are limited. OTT server is out of RAN2 scope. Thus, we suggest RAN2 should prioritize studying  joint training at gNB and OAM.</w:t>
      </w:r>
    </w:p>
    <w:p>
      <w:pPr>
        <w:keepNext w:val="0"/>
        <w:keepLines w:val="0"/>
        <w:pageBreakBefore w:val="0"/>
        <w:widowControl/>
        <w:kinsoku/>
        <w:wordWrap/>
        <w:overflowPunct/>
        <w:topLinePunct w:val="0"/>
        <w:autoSpaceDE/>
        <w:autoSpaceDN/>
        <w:bidi w:val="0"/>
        <w:adjustRightInd/>
        <w:snapToGrid/>
        <w:spacing w:after="200"/>
        <w:ind w:left="0" w:firstLine="0" w:firstLineChars="0"/>
        <w:jc w:val="left"/>
        <w:textAlignment w:val="auto"/>
        <w:rPr>
          <w:b/>
          <w:lang w:val="en-GB" w:eastAsia="zh-CN"/>
        </w:rPr>
      </w:pPr>
      <w:r>
        <w:rPr>
          <w:rFonts w:hint="default"/>
          <w:b/>
          <w:lang w:val="en-US" w:eastAsia="zh-CN"/>
        </w:rPr>
        <w:t>Observation</w:t>
      </w:r>
      <w:r>
        <w:rPr>
          <w:rFonts w:hint="eastAsia"/>
          <w:b/>
          <w:lang w:val="en-US" w:eastAsia="zh-CN"/>
        </w:rPr>
        <w:t>1: When it comes to the</w:t>
      </w:r>
      <w:r>
        <w:rPr>
          <w:rFonts w:hint="default"/>
          <w:b/>
          <w:lang w:val="en-US" w:eastAsia="zh-CN"/>
        </w:rPr>
        <w:t xml:space="preserve"> training</w:t>
      </w:r>
      <w:r>
        <w:rPr>
          <w:rFonts w:hint="eastAsia"/>
          <w:b/>
          <w:lang w:val="en-US" w:eastAsia="zh-CN"/>
        </w:rPr>
        <w:t xml:space="preserve"> </w:t>
      </w:r>
      <w:r>
        <w:rPr>
          <w:rFonts w:hint="default"/>
          <w:b/>
          <w:lang w:val="en-US" w:eastAsia="zh-CN"/>
        </w:rPr>
        <w:t xml:space="preserve">of the two-sided model at </w:t>
      </w:r>
      <w:r>
        <w:rPr>
          <w:rFonts w:hint="eastAsia"/>
          <w:b/>
          <w:lang w:val="en-US" w:eastAsia="zh-CN"/>
        </w:rPr>
        <w:t xml:space="preserve">UE, the scenarios of training data may be limited. Besides, the battery and storage of UE are limited. And OTT server is out of RAN2 scope. </w:t>
      </w:r>
    </w:p>
    <w:p>
      <w:pPr>
        <w:keepNext w:val="0"/>
        <w:keepLines w:val="0"/>
        <w:pageBreakBefore w:val="0"/>
        <w:widowControl/>
        <w:kinsoku/>
        <w:wordWrap/>
        <w:overflowPunct/>
        <w:topLinePunct w:val="0"/>
        <w:autoSpaceDE/>
        <w:autoSpaceDN/>
        <w:bidi w:val="0"/>
        <w:adjustRightInd/>
        <w:snapToGrid/>
        <w:spacing w:after="200"/>
        <w:ind w:left="0" w:firstLine="0" w:firstLineChars="0"/>
        <w:jc w:val="left"/>
        <w:textAlignment w:val="auto"/>
        <w:rPr>
          <w:rFonts w:hint="default"/>
          <w:b/>
          <w:lang w:val="en-US" w:eastAsia="zh-CN"/>
        </w:rPr>
      </w:pPr>
      <w:r>
        <w:rPr>
          <w:b/>
          <w:lang w:val="en-GB" w:eastAsia="zh-CN"/>
        </w:rPr>
        <w:t xml:space="preserve">Proposal </w:t>
      </w:r>
      <w:r>
        <w:rPr>
          <w:rFonts w:hint="eastAsia"/>
          <w:b/>
          <w:lang w:val="en-US" w:eastAsia="zh-CN"/>
        </w:rPr>
        <w:t>1</w:t>
      </w:r>
      <w:r>
        <w:rPr>
          <w:b/>
          <w:lang w:val="en-GB" w:eastAsia="zh-CN"/>
        </w:rPr>
        <w:t>:</w:t>
      </w:r>
      <w:r>
        <w:rPr>
          <w:rFonts w:hint="eastAsia"/>
          <w:b/>
          <w:lang w:val="en-GB" w:eastAsia="zh-CN"/>
        </w:rPr>
        <w:t xml:space="preserve"> </w:t>
      </w:r>
      <w:r>
        <w:rPr>
          <w:rFonts w:hint="eastAsia"/>
          <w:b/>
          <w:lang w:val="en-US" w:eastAsia="zh-CN"/>
        </w:rPr>
        <w:t>It is suggested that RAN2 should postpone the discussion on OTT server in Rel-18 since OTT server is out of RAN2 scope.</w:t>
      </w:r>
    </w:p>
    <w:p>
      <w:pPr>
        <w:keepNext w:val="0"/>
        <w:keepLines w:val="0"/>
        <w:pageBreakBefore w:val="0"/>
        <w:widowControl/>
        <w:kinsoku/>
        <w:wordWrap/>
        <w:overflowPunct/>
        <w:topLinePunct w:val="0"/>
        <w:autoSpaceDE/>
        <w:autoSpaceDN/>
        <w:bidi w:val="0"/>
        <w:adjustRightInd/>
        <w:snapToGrid/>
        <w:spacing w:after="200"/>
        <w:ind w:left="0" w:firstLine="0" w:firstLineChars="0"/>
        <w:jc w:val="left"/>
        <w:textAlignment w:val="auto"/>
        <w:rPr>
          <w:rFonts w:hint="eastAsia" w:eastAsia="宋体"/>
          <w:szCs w:val="18"/>
          <w:lang w:val="en-US" w:eastAsia="zh-CN"/>
        </w:rPr>
      </w:pPr>
      <w:r>
        <w:rPr>
          <w:rFonts w:hint="eastAsia"/>
          <w:b/>
          <w:lang w:val="en-US" w:eastAsia="zh-CN"/>
        </w:rPr>
        <w:t xml:space="preserve">Proposal 2: For training of the two-sided model, RAN2 should prioritize studying joint training at gNB and OAM. </w:t>
      </w:r>
    </w:p>
    <w:p>
      <w:pPr>
        <w:pStyle w:val="14"/>
        <w:rPr>
          <w:rFonts w:hint="eastAsia" w:eastAsia="宋体"/>
          <w:lang w:val="en-US" w:eastAsia="zh-CN"/>
        </w:rPr>
      </w:pPr>
      <w:r>
        <w:rPr>
          <w:rFonts w:hint="eastAsia" w:eastAsia="宋体"/>
          <w:szCs w:val="18"/>
          <w:lang w:val="en-US" w:eastAsia="zh-CN"/>
        </w:rPr>
        <w:t xml:space="preserve"> About data collection framework for training at gNB, both L1 reporting and L3 reporting should be considered in study according to the data size</w:t>
      </w:r>
      <w:r>
        <w:rPr>
          <w:rFonts w:hint="eastAsia" w:eastAsia="宋体"/>
          <w:lang w:val="en-US" w:eastAsia="zh-CN"/>
        </w:rPr>
        <w:t>. For two-sided model monitoring, RAN2 should prioritize studying monitoring at gNB due to the latency requirement. In addition both L1 reporting and L3 reporting should be should be considered in study since the data size can be covered by them.</w:t>
      </w:r>
    </w:p>
    <w:p>
      <w:pPr>
        <w:pStyle w:val="14"/>
        <w:rPr>
          <w:rFonts w:hint="eastAsia"/>
          <w:b/>
          <w:lang w:val="en-US" w:eastAsia="zh-CN"/>
        </w:rPr>
      </w:pPr>
      <w:r>
        <w:rPr>
          <w:b/>
          <w:lang w:val="en-GB" w:eastAsia="zh-CN"/>
        </w:rPr>
        <w:t xml:space="preserve">Proposal </w:t>
      </w:r>
      <w:r>
        <w:rPr>
          <w:rFonts w:hint="eastAsia"/>
          <w:b/>
          <w:lang w:val="en-US" w:eastAsia="zh-CN"/>
        </w:rPr>
        <w:t>3</w:t>
      </w:r>
      <w:r>
        <w:rPr>
          <w:b/>
          <w:lang w:val="en-GB" w:eastAsia="zh-CN"/>
        </w:rPr>
        <w:t>:</w:t>
      </w:r>
      <w:r>
        <w:rPr>
          <w:rFonts w:hint="eastAsia"/>
          <w:b/>
          <w:lang w:val="en-GB" w:eastAsia="zh-CN"/>
        </w:rPr>
        <w:t xml:space="preserve"> </w:t>
      </w:r>
      <w:r>
        <w:rPr>
          <w:rFonts w:hint="eastAsia"/>
          <w:b/>
          <w:lang w:val="en-US" w:eastAsia="zh-CN"/>
        </w:rPr>
        <w:t xml:space="preserve">About data collection framework for training at gNB training, L1 reporting should also be considered in study. </w:t>
      </w:r>
    </w:p>
    <w:p>
      <w:pPr>
        <w:pStyle w:val="14"/>
        <w:rPr>
          <w:rFonts w:hint="default" w:ascii="Arial" w:hAnsi="Arial" w:eastAsia="Malgun Gothic" w:cs="Times New Roman"/>
          <w:b/>
          <w:szCs w:val="22"/>
          <w:lang w:val="en-US" w:eastAsia="zh-CN" w:bidi="ar-SA"/>
        </w:rPr>
      </w:pPr>
      <w:r>
        <w:rPr>
          <w:rFonts w:hint="eastAsia" w:cs="Times New Roman"/>
          <w:b/>
          <w:szCs w:val="22"/>
          <w:lang w:val="en-US" w:eastAsia="zh-CN" w:bidi="ar-SA"/>
        </w:rPr>
        <w:t xml:space="preserve">Proposal 4: </w:t>
      </w:r>
      <w:r>
        <w:rPr>
          <w:rFonts w:hint="eastAsia" w:ascii="Arial" w:hAnsi="Arial" w:eastAsia="Malgun Gothic" w:cs="Times New Roman"/>
          <w:b/>
          <w:szCs w:val="22"/>
          <w:lang w:val="en-US" w:eastAsia="zh-CN" w:bidi="ar-SA"/>
        </w:rPr>
        <w:t xml:space="preserve">For two-sided model monitoring, RAN2 should prioritize studying monitoring at gNB, </w:t>
      </w:r>
      <w:r>
        <w:rPr>
          <w:rFonts w:hint="eastAsia" w:cs="Times New Roman"/>
          <w:b/>
          <w:szCs w:val="22"/>
          <w:lang w:val="en-US" w:eastAsia="zh-CN" w:bidi="ar-SA"/>
        </w:rPr>
        <w:t>and consider</w:t>
      </w:r>
      <w:r>
        <w:rPr>
          <w:rFonts w:hint="eastAsia" w:ascii="Arial" w:hAnsi="Arial" w:eastAsia="Malgun Gothic" w:cs="Times New Roman"/>
          <w:b/>
          <w:szCs w:val="22"/>
          <w:lang w:val="en-US" w:eastAsia="zh-CN" w:bidi="ar-SA"/>
        </w:rPr>
        <w:t xml:space="preserve"> both L1 reporting and L3 reporting.</w:t>
      </w:r>
    </w:p>
    <w:p>
      <w:pPr>
        <w:keepNext w:val="0"/>
        <w:keepLines w:val="0"/>
        <w:pageBreakBefore w:val="0"/>
        <w:widowControl/>
        <w:kinsoku/>
        <w:wordWrap/>
        <w:overflowPunct/>
        <w:topLinePunct w:val="0"/>
        <w:autoSpaceDE/>
        <w:autoSpaceDN/>
        <w:bidi w:val="0"/>
        <w:adjustRightInd/>
        <w:snapToGrid/>
        <w:spacing w:after="200"/>
        <w:ind w:left="0" w:firstLine="0" w:firstLineChars="0"/>
        <w:jc w:val="left"/>
        <w:textAlignment w:val="auto"/>
        <w:rPr>
          <w:rFonts w:hint="default"/>
          <w:b/>
          <w:lang w:val="en-US" w:eastAsia="zh-CN"/>
        </w:rPr>
      </w:pPr>
    </w:p>
    <w:p>
      <w:pPr>
        <w:pStyle w:val="2"/>
      </w:pPr>
      <w:bookmarkStart w:id="3" w:name="_Toc242573360"/>
      <w:r>
        <w:t>Summary</w:t>
      </w:r>
      <w:bookmarkEnd w:id="3"/>
    </w:p>
    <w:p>
      <w:bookmarkStart w:id="4" w:name="_Toc242573361"/>
      <w:r>
        <w:rPr>
          <w:rFonts w:hint="eastAsia" w:eastAsia="宋体"/>
          <w:lang w:eastAsia="zh-CN"/>
        </w:rPr>
        <w:t>RAN2</w:t>
      </w:r>
      <w:r>
        <w:t xml:space="preserve"> is kindly asked to discuss the following proposals:</w:t>
      </w:r>
    </w:p>
    <w:p>
      <w:pPr>
        <w:keepNext w:val="0"/>
        <w:keepLines w:val="0"/>
        <w:pageBreakBefore w:val="0"/>
        <w:widowControl/>
        <w:kinsoku/>
        <w:wordWrap/>
        <w:overflowPunct/>
        <w:topLinePunct w:val="0"/>
        <w:autoSpaceDE/>
        <w:autoSpaceDN/>
        <w:bidi w:val="0"/>
        <w:adjustRightInd/>
        <w:snapToGrid/>
        <w:spacing w:after="200"/>
        <w:ind w:left="0" w:firstLine="0" w:firstLineChars="0"/>
        <w:jc w:val="left"/>
        <w:textAlignment w:val="auto"/>
        <w:rPr>
          <w:b/>
          <w:lang w:val="en-GB" w:eastAsia="zh-CN"/>
        </w:rPr>
      </w:pPr>
      <w:r>
        <w:rPr>
          <w:rFonts w:hint="default"/>
          <w:b/>
          <w:lang w:val="en-US" w:eastAsia="zh-CN"/>
        </w:rPr>
        <w:t>Observation</w:t>
      </w:r>
      <w:r>
        <w:rPr>
          <w:rFonts w:hint="eastAsia"/>
          <w:b/>
          <w:lang w:val="en-US" w:eastAsia="zh-CN"/>
        </w:rPr>
        <w:t>1: When it comes to the</w:t>
      </w:r>
      <w:r>
        <w:rPr>
          <w:rFonts w:hint="default"/>
          <w:b/>
          <w:lang w:val="en-US" w:eastAsia="zh-CN"/>
        </w:rPr>
        <w:t xml:space="preserve"> training</w:t>
      </w:r>
      <w:r>
        <w:rPr>
          <w:rFonts w:hint="eastAsia"/>
          <w:b/>
          <w:lang w:val="en-US" w:eastAsia="zh-CN"/>
        </w:rPr>
        <w:t xml:space="preserve"> </w:t>
      </w:r>
      <w:r>
        <w:rPr>
          <w:rFonts w:hint="default"/>
          <w:b/>
          <w:lang w:val="en-US" w:eastAsia="zh-CN"/>
        </w:rPr>
        <w:t xml:space="preserve">of the two-sided model at </w:t>
      </w:r>
      <w:r>
        <w:rPr>
          <w:rFonts w:hint="eastAsia"/>
          <w:b/>
          <w:lang w:val="en-US" w:eastAsia="zh-CN"/>
        </w:rPr>
        <w:t xml:space="preserve">UE, the scenarios of training data may be limited. Besides, the battery and storage of UE are limited. And OTT server is out of RAN2 scope. </w:t>
      </w:r>
    </w:p>
    <w:p>
      <w:pPr>
        <w:keepNext w:val="0"/>
        <w:keepLines w:val="0"/>
        <w:pageBreakBefore w:val="0"/>
        <w:widowControl/>
        <w:kinsoku/>
        <w:wordWrap/>
        <w:overflowPunct/>
        <w:topLinePunct w:val="0"/>
        <w:autoSpaceDE/>
        <w:autoSpaceDN/>
        <w:bidi w:val="0"/>
        <w:adjustRightInd/>
        <w:snapToGrid/>
        <w:spacing w:after="200"/>
        <w:ind w:left="0" w:firstLine="0" w:firstLineChars="0"/>
        <w:jc w:val="left"/>
        <w:textAlignment w:val="auto"/>
        <w:rPr>
          <w:rFonts w:hint="default"/>
          <w:b/>
          <w:lang w:val="en-US" w:eastAsia="zh-CN"/>
        </w:rPr>
      </w:pPr>
      <w:r>
        <w:rPr>
          <w:b/>
          <w:lang w:val="en-GB" w:eastAsia="zh-CN"/>
        </w:rPr>
        <w:t xml:space="preserve">Proposal </w:t>
      </w:r>
      <w:r>
        <w:rPr>
          <w:rFonts w:hint="eastAsia"/>
          <w:b/>
          <w:lang w:val="en-US" w:eastAsia="zh-CN"/>
        </w:rPr>
        <w:t>1</w:t>
      </w:r>
      <w:r>
        <w:rPr>
          <w:b/>
          <w:lang w:val="en-GB" w:eastAsia="zh-CN"/>
        </w:rPr>
        <w:t>:</w:t>
      </w:r>
      <w:r>
        <w:rPr>
          <w:rFonts w:hint="eastAsia"/>
          <w:b/>
          <w:lang w:val="en-GB" w:eastAsia="zh-CN"/>
        </w:rPr>
        <w:t xml:space="preserve"> </w:t>
      </w:r>
      <w:r>
        <w:rPr>
          <w:rFonts w:hint="eastAsia"/>
          <w:b/>
          <w:lang w:val="en-US" w:eastAsia="zh-CN"/>
        </w:rPr>
        <w:t>It is suggested that RAN2 should postpone the discussion on OTT server in Rel-18 since OTT server is out of RAN2 scope.</w:t>
      </w:r>
    </w:p>
    <w:p>
      <w:pPr>
        <w:keepNext w:val="0"/>
        <w:keepLines w:val="0"/>
        <w:pageBreakBefore w:val="0"/>
        <w:widowControl/>
        <w:kinsoku/>
        <w:wordWrap/>
        <w:overflowPunct/>
        <w:topLinePunct w:val="0"/>
        <w:autoSpaceDE/>
        <w:autoSpaceDN/>
        <w:bidi w:val="0"/>
        <w:adjustRightInd/>
        <w:snapToGrid/>
        <w:spacing w:after="200"/>
        <w:ind w:left="0" w:firstLine="0" w:firstLineChars="0"/>
        <w:jc w:val="left"/>
        <w:textAlignment w:val="auto"/>
        <w:rPr>
          <w:rFonts w:hint="eastAsia" w:eastAsia="宋体"/>
          <w:szCs w:val="18"/>
          <w:lang w:val="en-US" w:eastAsia="zh-CN"/>
        </w:rPr>
      </w:pPr>
      <w:r>
        <w:rPr>
          <w:rFonts w:hint="eastAsia"/>
          <w:b/>
          <w:lang w:val="en-US" w:eastAsia="zh-CN"/>
        </w:rPr>
        <w:t xml:space="preserve">Proposal 2: For training of the two-sided model, RAN2 should prioritize studying joint training at gNB and OAM. </w:t>
      </w:r>
    </w:p>
    <w:p>
      <w:pPr>
        <w:pStyle w:val="14"/>
        <w:rPr>
          <w:rFonts w:hint="eastAsia"/>
          <w:b/>
          <w:lang w:val="en-US" w:eastAsia="zh-CN"/>
        </w:rPr>
      </w:pPr>
      <w:r>
        <w:rPr>
          <w:b/>
          <w:lang w:val="en-GB" w:eastAsia="zh-CN"/>
        </w:rPr>
        <w:t xml:space="preserve">Proposal </w:t>
      </w:r>
      <w:r>
        <w:rPr>
          <w:rFonts w:hint="eastAsia"/>
          <w:b/>
          <w:lang w:val="en-US" w:eastAsia="zh-CN"/>
        </w:rPr>
        <w:t>3</w:t>
      </w:r>
      <w:r>
        <w:rPr>
          <w:b/>
          <w:lang w:val="en-GB" w:eastAsia="zh-CN"/>
        </w:rPr>
        <w:t>:</w:t>
      </w:r>
      <w:r>
        <w:rPr>
          <w:rFonts w:hint="eastAsia"/>
          <w:b/>
          <w:lang w:val="en-GB" w:eastAsia="zh-CN"/>
        </w:rPr>
        <w:t xml:space="preserve"> </w:t>
      </w:r>
      <w:r>
        <w:rPr>
          <w:rFonts w:hint="eastAsia"/>
          <w:b/>
          <w:lang w:val="en-US" w:eastAsia="zh-CN"/>
        </w:rPr>
        <w:t xml:space="preserve">About data collection framework for training at gNB training, L1 reporting should also be considered in study. </w:t>
      </w:r>
    </w:p>
    <w:p>
      <w:pPr>
        <w:pStyle w:val="14"/>
        <w:rPr>
          <w:rFonts w:hint="default" w:ascii="Arial" w:hAnsi="Arial" w:eastAsia="Malgun Gothic" w:cs="Times New Roman"/>
          <w:b/>
          <w:szCs w:val="22"/>
          <w:lang w:val="en-US" w:eastAsia="zh-CN" w:bidi="ar-SA"/>
        </w:rPr>
      </w:pPr>
      <w:r>
        <w:rPr>
          <w:rFonts w:hint="eastAsia" w:cs="Times New Roman"/>
          <w:b/>
          <w:szCs w:val="22"/>
          <w:lang w:val="en-US" w:eastAsia="zh-CN" w:bidi="ar-SA"/>
        </w:rPr>
        <w:t xml:space="preserve">Proposal 4: </w:t>
      </w:r>
      <w:r>
        <w:rPr>
          <w:rFonts w:hint="eastAsia" w:ascii="Arial" w:hAnsi="Arial" w:eastAsia="Malgun Gothic" w:cs="Times New Roman"/>
          <w:b/>
          <w:szCs w:val="22"/>
          <w:lang w:val="en-US" w:eastAsia="zh-CN" w:bidi="ar-SA"/>
        </w:rPr>
        <w:t xml:space="preserve">For two-sided model monitoring, RAN2 should prioritize studying monitoring at gNB, </w:t>
      </w:r>
      <w:r>
        <w:rPr>
          <w:rFonts w:hint="eastAsia" w:cs="Times New Roman"/>
          <w:b/>
          <w:szCs w:val="22"/>
          <w:lang w:val="en-US" w:eastAsia="zh-CN" w:bidi="ar-SA"/>
        </w:rPr>
        <w:t>and consider</w:t>
      </w:r>
      <w:r>
        <w:rPr>
          <w:rFonts w:hint="eastAsia" w:ascii="Arial" w:hAnsi="Arial" w:eastAsia="Malgun Gothic" w:cs="Times New Roman"/>
          <w:b/>
          <w:szCs w:val="22"/>
          <w:lang w:val="en-US" w:eastAsia="zh-CN" w:bidi="ar-SA"/>
        </w:rPr>
        <w:t xml:space="preserve"> both L1 reporting and L3 reporting.</w:t>
      </w:r>
      <w:bookmarkStart w:id="5" w:name="_GoBack"/>
      <w:bookmarkEnd w:id="5"/>
    </w:p>
    <w:p>
      <w:pPr>
        <w:pStyle w:val="2"/>
      </w:pPr>
      <w:r>
        <w:t>References</w:t>
      </w:r>
      <w:bookmarkEnd w:id="4"/>
    </w:p>
    <w:p>
      <w:pPr>
        <w:numPr>
          <w:ilvl w:val="0"/>
          <w:numId w:val="6"/>
        </w:numPr>
        <w:overflowPunct w:val="0"/>
        <w:autoSpaceDE w:val="0"/>
        <w:autoSpaceDN w:val="0"/>
        <w:adjustRightInd w:val="0"/>
        <w:spacing w:after="180" w:line="240" w:lineRule="auto"/>
        <w:textAlignment w:val="baseline"/>
        <w:rPr>
          <w:rFonts w:cs="Arial"/>
          <w:lang w:val="de-DE"/>
        </w:rPr>
      </w:pPr>
      <w:r>
        <w:rPr>
          <w:rFonts w:hint="eastAsia" w:cs="Arial"/>
          <w:lang w:val="de-DE"/>
        </w:rPr>
        <w:t>R2_123bis_ChairNotes_23-10-13_13-00_final</w:t>
      </w:r>
    </w:p>
    <w:p>
      <w:pPr>
        <w:numPr>
          <w:ilvl w:val="0"/>
          <w:numId w:val="6"/>
        </w:numPr>
        <w:overflowPunct w:val="0"/>
        <w:autoSpaceDE w:val="0"/>
        <w:autoSpaceDN w:val="0"/>
        <w:adjustRightInd w:val="0"/>
        <w:spacing w:after="180" w:line="240" w:lineRule="auto"/>
        <w:textAlignment w:val="baseline"/>
        <w:rPr>
          <w:rFonts w:hint="eastAsia" w:cs="Arial"/>
          <w:lang w:val="de-DE"/>
        </w:rPr>
      </w:pPr>
      <w:r>
        <w:rPr>
          <w:rFonts w:hint="eastAsia" w:cs="Arial"/>
          <w:lang w:val="de-DE"/>
        </w:rPr>
        <w:t>Reply LS on Data Collection Requirements and Assumptions</w:t>
      </w:r>
      <w:r>
        <w:rPr>
          <w:rFonts w:hint="eastAsia" w:eastAsia="宋体" w:cs="Arial"/>
          <w:lang w:val="en-US" w:eastAsia="zh-CN"/>
        </w:rPr>
        <w:t>(</w:t>
      </w:r>
      <w:r>
        <w:rPr>
          <w:rFonts w:hint="eastAsia" w:cs="Arial"/>
          <w:lang w:val="de-DE"/>
        </w:rPr>
        <w:t>R1-2308730</w:t>
      </w:r>
      <w:r>
        <w:rPr>
          <w:rFonts w:hint="eastAsia" w:cs="Arial"/>
          <w:lang w:val="en-US" w:eastAsia="zh-CN"/>
        </w:rPr>
        <w:t>)</w:t>
      </w:r>
    </w:p>
    <w:p>
      <w:pPr>
        <w:numPr>
          <w:ilvl w:val="0"/>
          <w:numId w:val="6"/>
        </w:numPr>
        <w:overflowPunct w:val="0"/>
        <w:autoSpaceDE w:val="0"/>
        <w:autoSpaceDN w:val="0"/>
        <w:adjustRightInd w:val="0"/>
        <w:spacing w:after="180" w:line="240" w:lineRule="auto"/>
        <w:textAlignment w:val="baseline"/>
        <w:rPr>
          <w:rFonts w:hint="eastAsia" w:cs="Arial"/>
          <w:lang w:val="de-DE"/>
        </w:rPr>
      </w:pPr>
      <w:r>
        <w:rPr>
          <w:rFonts w:hint="eastAsia" w:cs="Arial"/>
          <w:lang w:val="de-DE"/>
        </w:rPr>
        <w:t>Reply LS on Data Collection Requirements and Assumptions</w:t>
      </w:r>
      <w:r>
        <w:rPr>
          <w:rFonts w:hint="eastAsia" w:eastAsia="宋体" w:cs="Arial"/>
          <w:lang w:val="en-US" w:eastAsia="zh-CN"/>
        </w:rPr>
        <w:t>(</w:t>
      </w:r>
      <w:r>
        <w:rPr>
          <w:rFonts w:hint="eastAsia" w:cs="Arial"/>
          <w:lang w:val="de-DE"/>
        </w:rPr>
        <w:t>R1-23</w:t>
      </w:r>
      <w:r>
        <w:rPr>
          <w:rFonts w:hint="eastAsia" w:cs="Arial"/>
          <w:lang w:val="en-US" w:eastAsia="zh-CN"/>
        </w:rPr>
        <w:t>1</w:t>
      </w:r>
      <w:r>
        <w:rPr>
          <w:rFonts w:hint="eastAsia" w:cs="Arial"/>
          <w:lang w:val="de-DE"/>
        </w:rPr>
        <w:t>0</w:t>
      </w:r>
      <w:r>
        <w:rPr>
          <w:rFonts w:hint="eastAsia" w:cs="Arial"/>
          <w:lang w:val="en-US" w:eastAsia="zh-CN"/>
        </w:rPr>
        <w:t>6</w:t>
      </w:r>
      <w:r>
        <w:rPr>
          <w:rFonts w:hint="eastAsia" w:cs="Arial"/>
          <w:lang w:val="de-DE"/>
        </w:rPr>
        <w:t>8</w:t>
      </w:r>
      <w:r>
        <w:rPr>
          <w:rFonts w:hint="eastAsia" w:cs="Arial"/>
          <w:lang w:val="en-US" w:eastAsia="zh-CN"/>
        </w:rPr>
        <w:t>1)</w:t>
      </w:r>
    </w:p>
    <w:p>
      <w:pPr>
        <w:numPr>
          <w:ilvl w:val="0"/>
          <w:numId w:val="6"/>
        </w:numPr>
        <w:overflowPunct w:val="0"/>
        <w:autoSpaceDE w:val="0"/>
        <w:autoSpaceDN w:val="0"/>
        <w:adjustRightInd w:val="0"/>
        <w:spacing w:after="180" w:line="240" w:lineRule="auto"/>
        <w:textAlignment w:val="baseline"/>
        <w:rPr>
          <w:rFonts w:hint="eastAsia" w:cs="Arial"/>
          <w:lang w:val="de-DE"/>
        </w:rPr>
      </w:pPr>
      <w:r>
        <w:rPr>
          <w:rFonts w:cs="Arial"/>
          <w:lang w:val="de-DE"/>
        </w:rPr>
        <w:t>[Post122][060][AIML] Mapping of functions to physical entities (CMCC)</w:t>
      </w: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G Times (WN)">
    <w:altName w:val="Times New Roman"/>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rStyle w:val="28"/>
      </w:rPr>
      <w:fldChar w:fldCharType="begin"/>
    </w:r>
    <w:r>
      <w:rPr>
        <w:rStyle w:val="28"/>
      </w:rPr>
      <w:instrText xml:space="preserve"> PAGE </w:instrText>
    </w:r>
    <w:r>
      <w:rPr>
        <w:rStyle w:val="28"/>
      </w:rPr>
      <w:fldChar w:fldCharType="separate"/>
    </w:r>
    <w:r>
      <w:rPr>
        <w:rStyle w:val="28"/>
      </w:rPr>
      <w:t>3</w:t>
    </w:r>
    <w:r>
      <w:rPr>
        <w:rStyle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8C67D"/>
    <w:multiLevelType w:val="singleLevel"/>
    <w:tmpl w:val="8628C67D"/>
    <w:lvl w:ilvl="0" w:tentative="0">
      <w:start w:val="1"/>
      <w:numFmt w:val="bullet"/>
      <w:lvlText w:val=""/>
      <w:lvlJc w:val="left"/>
      <w:pPr>
        <w:ind w:left="420" w:hanging="420"/>
      </w:pPr>
      <w:rPr>
        <w:rFonts w:hint="default" w:ascii="Wingdings" w:hAnsi="Wingdings"/>
      </w:rPr>
    </w:lvl>
  </w:abstractNum>
  <w:abstractNum w:abstractNumId="1">
    <w:nsid w:val="28F44499"/>
    <w:multiLevelType w:val="multilevel"/>
    <w:tmpl w:val="28F444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i w:val="0"/>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A816C6D"/>
    <w:multiLevelType w:val="multilevel"/>
    <w:tmpl w:val="4A816C6D"/>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0BA264E"/>
    <w:multiLevelType w:val="multilevel"/>
    <w:tmpl w:val="50BA264E"/>
    <w:lvl w:ilvl="0" w:tentative="0">
      <w:start w:val="1"/>
      <w:numFmt w:val="decimal"/>
      <w:pStyle w:val="2"/>
      <w:lvlText w:val="%1"/>
      <w:lvlJc w:val="left"/>
      <w:pPr>
        <w:tabs>
          <w:tab w:val="left" w:pos="432"/>
        </w:tabs>
        <w:ind w:left="432" w:hanging="432"/>
      </w:pPr>
      <w:rPr>
        <w:rFonts w:hint="default"/>
        <w:b/>
        <w:lang w:val="en-GB"/>
      </w:rPr>
    </w:lvl>
    <w:lvl w:ilvl="1" w:tentative="0">
      <w:start w:val="1"/>
      <w:numFmt w:val="decimal"/>
      <w:pStyle w:val="3"/>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70146DC0"/>
    <w:multiLevelType w:val="multilevel"/>
    <w:tmpl w:val="70146DC0"/>
    <w:lvl w:ilvl="0" w:tentative="0">
      <w:start w:val="1"/>
      <w:numFmt w:val="bullet"/>
      <w:pStyle w:val="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137"/>
    <w:rsid w:val="00001770"/>
    <w:rsid w:val="000028DD"/>
    <w:rsid w:val="0000311A"/>
    <w:rsid w:val="00003465"/>
    <w:rsid w:val="0000455C"/>
    <w:rsid w:val="000057DB"/>
    <w:rsid w:val="000059B7"/>
    <w:rsid w:val="00005BAC"/>
    <w:rsid w:val="000060A7"/>
    <w:rsid w:val="00006CE2"/>
    <w:rsid w:val="00007730"/>
    <w:rsid w:val="0001045F"/>
    <w:rsid w:val="00011902"/>
    <w:rsid w:val="00011E6B"/>
    <w:rsid w:val="00012153"/>
    <w:rsid w:val="00012285"/>
    <w:rsid w:val="00013C93"/>
    <w:rsid w:val="00013D26"/>
    <w:rsid w:val="00016917"/>
    <w:rsid w:val="00016A3A"/>
    <w:rsid w:val="000171D0"/>
    <w:rsid w:val="00020287"/>
    <w:rsid w:val="0002041C"/>
    <w:rsid w:val="00020F07"/>
    <w:rsid w:val="00020FD3"/>
    <w:rsid w:val="00020FFE"/>
    <w:rsid w:val="0002132D"/>
    <w:rsid w:val="00021446"/>
    <w:rsid w:val="0002181B"/>
    <w:rsid w:val="00022928"/>
    <w:rsid w:val="00022B2E"/>
    <w:rsid w:val="00022C47"/>
    <w:rsid w:val="000234B6"/>
    <w:rsid w:val="00025C43"/>
    <w:rsid w:val="00026BB9"/>
    <w:rsid w:val="00026DD2"/>
    <w:rsid w:val="00027118"/>
    <w:rsid w:val="00027BEA"/>
    <w:rsid w:val="000306C0"/>
    <w:rsid w:val="0003186A"/>
    <w:rsid w:val="00031C5C"/>
    <w:rsid w:val="00031D4B"/>
    <w:rsid w:val="00034099"/>
    <w:rsid w:val="000343D3"/>
    <w:rsid w:val="000346E9"/>
    <w:rsid w:val="0003547B"/>
    <w:rsid w:val="000362AC"/>
    <w:rsid w:val="000362CF"/>
    <w:rsid w:val="00036B57"/>
    <w:rsid w:val="00037FCD"/>
    <w:rsid w:val="0004162A"/>
    <w:rsid w:val="00042CEE"/>
    <w:rsid w:val="00044ACC"/>
    <w:rsid w:val="00044BCA"/>
    <w:rsid w:val="000464BA"/>
    <w:rsid w:val="000464D4"/>
    <w:rsid w:val="00046BE2"/>
    <w:rsid w:val="0004760F"/>
    <w:rsid w:val="000477A9"/>
    <w:rsid w:val="00047A5B"/>
    <w:rsid w:val="00047A6F"/>
    <w:rsid w:val="00050582"/>
    <w:rsid w:val="0005222E"/>
    <w:rsid w:val="0005327C"/>
    <w:rsid w:val="00054991"/>
    <w:rsid w:val="00054EDE"/>
    <w:rsid w:val="000552FA"/>
    <w:rsid w:val="000559F7"/>
    <w:rsid w:val="0005608C"/>
    <w:rsid w:val="0005707A"/>
    <w:rsid w:val="00060527"/>
    <w:rsid w:val="0006078D"/>
    <w:rsid w:val="00060834"/>
    <w:rsid w:val="00061160"/>
    <w:rsid w:val="000615CA"/>
    <w:rsid w:val="00061674"/>
    <w:rsid w:val="0006264B"/>
    <w:rsid w:val="000627CD"/>
    <w:rsid w:val="00062D95"/>
    <w:rsid w:val="000635F0"/>
    <w:rsid w:val="00063686"/>
    <w:rsid w:val="00064E2F"/>
    <w:rsid w:val="0006640F"/>
    <w:rsid w:val="000677EA"/>
    <w:rsid w:val="00067937"/>
    <w:rsid w:val="00070C3F"/>
    <w:rsid w:val="00073C09"/>
    <w:rsid w:val="000754F8"/>
    <w:rsid w:val="0007655C"/>
    <w:rsid w:val="0007673B"/>
    <w:rsid w:val="00076E60"/>
    <w:rsid w:val="00077206"/>
    <w:rsid w:val="0007742F"/>
    <w:rsid w:val="000775FC"/>
    <w:rsid w:val="00077873"/>
    <w:rsid w:val="00077F3F"/>
    <w:rsid w:val="00080B58"/>
    <w:rsid w:val="00080D29"/>
    <w:rsid w:val="00081027"/>
    <w:rsid w:val="00081A04"/>
    <w:rsid w:val="00081BF4"/>
    <w:rsid w:val="00082E03"/>
    <w:rsid w:val="00083CCF"/>
    <w:rsid w:val="000844B5"/>
    <w:rsid w:val="00085075"/>
    <w:rsid w:val="00085FC2"/>
    <w:rsid w:val="0008686B"/>
    <w:rsid w:val="00086B9F"/>
    <w:rsid w:val="00086CBC"/>
    <w:rsid w:val="00087173"/>
    <w:rsid w:val="00087F8E"/>
    <w:rsid w:val="0009147A"/>
    <w:rsid w:val="00091AE6"/>
    <w:rsid w:val="00092079"/>
    <w:rsid w:val="0009559E"/>
    <w:rsid w:val="00095791"/>
    <w:rsid w:val="00095F52"/>
    <w:rsid w:val="0009603A"/>
    <w:rsid w:val="0009646F"/>
    <w:rsid w:val="000967EE"/>
    <w:rsid w:val="000972AC"/>
    <w:rsid w:val="00097F77"/>
    <w:rsid w:val="000A1986"/>
    <w:rsid w:val="000A1DFC"/>
    <w:rsid w:val="000A20E0"/>
    <w:rsid w:val="000A248B"/>
    <w:rsid w:val="000A2C8C"/>
    <w:rsid w:val="000A3103"/>
    <w:rsid w:val="000A3340"/>
    <w:rsid w:val="000A3608"/>
    <w:rsid w:val="000A360E"/>
    <w:rsid w:val="000A5299"/>
    <w:rsid w:val="000A5B89"/>
    <w:rsid w:val="000A625C"/>
    <w:rsid w:val="000A7088"/>
    <w:rsid w:val="000A7328"/>
    <w:rsid w:val="000A787E"/>
    <w:rsid w:val="000A7A69"/>
    <w:rsid w:val="000A7F47"/>
    <w:rsid w:val="000B1896"/>
    <w:rsid w:val="000B1C57"/>
    <w:rsid w:val="000B3B6B"/>
    <w:rsid w:val="000B47D4"/>
    <w:rsid w:val="000B47F5"/>
    <w:rsid w:val="000B4B53"/>
    <w:rsid w:val="000B4E91"/>
    <w:rsid w:val="000B6575"/>
    <w:rsid w:val="000B6CAB"/>
    <w:rsid w:val="000B73E2"/>
    <w:rsid w:val="000B7678"/>
    <w:rsid w:val="000B7781"/>
    <w:rsid w:val="000B78F0"/>
    <w:rsid w:val="000B7C57"/>
    <w:rsid w:val="000C034B"/>
    <w:rsid w:val="000C0661"/>
    <w:rsid w:val="000C07B7"/>
    <w:rsid w:val="000C0AFF"/>
    <w:rsid w:val="000C0B8F"/>
    <w:rsid w:val="000C0CD6"/>
    <w:rsid w:val="000C0D9F"/>
    <w:rsid w:val="000C21E7"/>
    <w:rsid w:val="000C24F4"/>
    <w:rsid w:val="000C2C10"/>
    <w:rsid w:val="000C3430"/>
    <w:rsid w:val="000C4330"/>
    <w:rsid w:val="000C5310"/>
    <w:rsid w:val="000C55AA"/>
    <w:rsid w:val="000C6C63"/>
    <w:rsid w:val="000C6DEF"/>
    <w:rsid w:val="000C75DF"/>
    <w:rsid w:val="000D0274"/>
    <w:rsid w:val="000D1253"/>
    <w:rsid w:val="000D1317"/>
    <w:rsid w:val="000D3F08"/>
    <w:rsid w:val="000D3F81"/>
    <w:rsid w:val="000D44D7"/>
    <w:rsid w:val="000D5183"/>
    <w:rsid w:val="000D61C5"/>
    <w:rsid w:val="000D6FAB"/>
    <w:rsid w:val="000D78FA"/>
    <w:rsid w:val="000E064E"/>
    <w:rsid w:val="000E0D95"/>
    <w:rsid w:val="000E1869"/>
    <w:rsid w:val="000E241E"/>
    <w:rsid w:val="000E2D81"/>
    <w:rsid w:val="000E2DC8"/>
    <w:rsid w:val="000E3B7B"/>
    <w:rsid w:val="000E402A"/>
    <w:rsid w:val="000E47A9"/>
    <w:rsid w:val="000E4A36"/>
    <w:rsid w:val="000E5791"/>
    <w:rsid w:val="000E6FD5"/>
    <w:rsid w:val="000E7839"/>
    <w:rsid w:val="000F01B4"/>
    <w:rsid w:val="000F07ED"/>
    <w:rsid w:val="000F0838"/>
    <w:rsid w:val="000F217D"/>
    <w:rsid w:val="000F22B1"/>
    <w:rsid w:val="000F2A3C"/>
    <w:rsid w:val="000F2D1B"/>
    <w:rsid w:val="000F2F3D"/>
    <w:rsid w:val="000F3A3C"/>
    <w:rsid w:val="000F46F1"/>
    <w:rsid w:val="000F58F8"/>
    <w:rsid w:val="000F5B2F"/>
    <w:rsid w:val="000F6DC3"/>
    <w:rsid w:val="000F786E"/>
    <w:rsid w:val="0010072E"/>
    <w:rsid w:val="0010104F"/>
    <w:rsid w:val="00101512"/>
    <w:rsid w:val="0010163E"/>
    <w:rsid w:val="0010165C"/>
    <w:rsid w:val="00103CB4"/>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70"/>
    <w:rsid w:val="00116F90"/>
    <w:rsid w:val="00117427"/>
    <w:rsid w:val="00120090"/>
    <w:rsid w:val="001201C0"/>
    <w:rsid w:val="00120D47"/>
    <w:rsid w:val="00121177"/>
    <w:rsid w:val="00121AB6"/>
    <w:rsid w:val="00121EAB"/>
    <w:rsid w:val="0012259C"/>
    <w:rsid w:val="00122AD2"/>
    <w:rsid w:val="0012401C"/>
    <w:rsid w:val="00124B18"/>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635"/>
    <w:rsid w:val="001418FF"/>
    <w:rsid w:val="001434DC"/>
    <w:rsid w:val="00143628"/>
    <w:rsid w:val="00144453"/>
    <w:rsid w:val="00145AC2"/>
    <w:rsid w:val="001460AC"/>
    <w:rsid w:val="00147469"/>
    <w:rsid w:val="00147532"/>
    <w:rsid w:val="00147E07"/>
    <w:rsid w:val="001505E0"/>
    <w:rsid w:val="00150EAC"/>
    <w:rsid w:val="00150F61"/>
    <w:rsid w:val="0015136A"/>
    <w:rsid w:val="0015199E"/>
    <w:rsid w:val="00151D8C"/>
    <w:rsid w:val="001521B4"/>
    <w:rsid w:val="00154791"/>
    <w:rsid w:val="001558FF"/>
    <w:rsid w:val="0015614F"/>
    <w:rsid w:val="00156B21"/>
    <w:rsid w:val="00156FC0"/>
    <w:rsid w:val="00157B51"/>
    <w:rsid w:val="00160690"/>
    <w:rsid w:val="00160860"/>
    <w:rsid w:val="00160CA0"/>
    <w:rsid w:val="0016284C"/>
    <w:rsid w:val="00162892"/>
    <w:rsid w:val="00163D65"/>
    <w:rsid w:val="00163E78"/>
    <w:rsid w:val="001646C7"/>
    <w:rsid w:val="00164767"/>
    <w:rsid w:val="001648FB"/>
    <w:rsid w:val="00164FB0"/>
    <w:rsid w:val="001652CD"/>
    <w:rsid w:val="001654E5"/>
    <w:rsid w:val="001659F2"/>
    <w:rsid w:val="00165F9B"/>
    <w:rsid w:val="0016679A"/>
    <w:rsid w:val="00166999"/>
    <w:rsid w:val="00170C78"/>
    <w:rsid w:val="00171021"/>
    <w:rsid w:val="00171C89"/>
    <w:rsid w:val="00172B94"/>
    <w:rsid w:val="00172C20"/>
    <w:rsid w:val="00173487"/>
    <w:rsid w:val="00173666"/>
    <w:rsid w:val="001739C4"/>
    <w:rsid w:val="00174076"/>
    <w:rsid w:val="00174DA5"/>
    <w:rsid w:val="00175496"/>
    <w:rsid w:val="00175631"/>
    <w:rsid w:val="00175AD2"/>
    <w:rsid w:val="00177993"/>
    <w:rsid w:val="0018039A"/>
    <w:rsid w:val="0018158B"/>
    <w:rsid w:val="00181B20"/>
    <w:rsid w:val="00182927"/>
    <w:rsid w:val="001838E8"/>
    <w:rsid w:val="0018431E"/>
    <w:rsid w:val="00185B40"/>
    <w:rsid w:val="0018641B"/>
    <w:rsid w:val="00186AA9"/>
    <w:rsid w:val="00187710"/>
    <w:rsid w:val="00187C4F"/>
    <w:rsid w:val="00190734"/>
    <w:rsid w:val="00190C91"/>
    <w:rsid w:val="00191C5C"/>
    <w:rsid w:val="001924EE"/>
    <w:rsid w:val="00192610"/>
    <w:rsid w:val="0019276B"/>
    <w:rsid w:val="00192EBA"/>
    <w:rsid w:val="00194E7F"/>
    <w:rsid w:val="001957AE"/>
    <w:rsid w:val="00195BC6"/>
    <w:rsid w:val="00197518"/>
    <w:rsid w:val="001A0F41"/>
    <w:rsid w:val="001A13EF"/>
    <w:rsid w:val="001A1DAE"/>
    <w:rsid w:val="001A1E03"/>
    <w:rsid w:val="001A241E"/>
    <w:rsid w:val="001A3300"/>
    <w:rsid w:val="001A3F52"/>
    <w:rsid w:val="001A4131"/>
    <w:rsid w:val="001A5A6D"/>
    <w:rsid w:val="001A610B"/>
    <w:rsid w:val="001A7583"/>
    <w:rsid w:val="001A7A9E"/>
    <w:rsid w:val="001A7BB7"/>
    <w:rsid w:val="001B03A6"/>
    <w:rsid w:val="001B042D"/>
    <w:rsid w:val="001B1617"/>
    <w:rsid w:val="001B241A"/>
    <w:rsid w:val="001B2C38"/>
    <w:rsid w:val="001B2EB8"/>
    <w:rsid w:val="001B2F7D"/>
    <w:rsid w:val="001B39EC"/>
    <w:rsid w:val="001B3E9A"/>
    <w:rsid w:val="001B76C9"/>
    <w:rsid w:val="001B7CDF"/>
    <w:rsid w:val="001C08A0"/>
    <w:rsid w:val="001C230D"/>
    <w:rsid w:val="001C3846"/>
    <w:rsid w:val="001C481D"/>
    <w:rsid w:val="001C4CD3"/>
    <w:rsid w:val="001C5B9D"/>
    <w:rsid w:val="001C611A"/>
    <w:rsid w:val="001C6394"/>
    <w:rsid w:val="001C6BBF"/>
    <w:rsid w:val="001C6BCF"/>
    <w:rsid w:val="001C7268"/>
    <w:rsid w:val="001D01C0"/>
    <w:rsid w:val="001D026D"/>
    <w:rsid w:val="001D050D"/>
    <w:rsid w:val="001D15F2"/>
    <w:rsid w:val="001D16C0"/>
    <w:rsid w:val="001D1DD1"/>
    <w:rsid w:val="001D20A7"/>
    <w:rsid w:val="001D2E7A"/>
    <w:rsid w:val="001D42C7"/>
    <w:rsid w:val="001D4711"/>
    <w:rsid w:val="001D4E8C"/>
    <w:rsid w:val="001D5744"/>
    <w:rsid w:val="001D5EC7"/>
    <w:rsid w:val="001D6710"/>
    <w:rsid w:val="001D7494"/>
    <w:rsid w:val="001E0378"/>
    <w:rsid w:val="001E3999"/>
    <w:rsid w:val="001E46DB"/>
    <w:rsid w:val="001E5913"/>
    <w:rsid w:val="001E5DED"/>
    <w:rsid w:val="001E62D4"/>
    <w:rsid w:val="001E63D8"/>
    <w:rsid w:val="001E65BE"/>
    <w:rsid w:val="001E6A9C"/>
    <w:rsid w:val="001E723E"/>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65BE"/>
    <w:rsid w:val="002068E7"/>
    <w:rsid w:val="00206DB3"/>
    <w:rsid w:val="002073EE"/>
    <w:rsid w:val="00211188"/>
    <w:rsid w:val="002114D0"/>
    <w:rsid w:val="00211629"/>
    <w:rsid w:val="0021199D"/>
    <w:rsid w:val="00211F74"/>
    <w:rsid w:val="00212389"/>
    <w:rsid w:val="002124F8"/>
    <w:rsid w:val="00212767"/>
    <w:rsid w:val="002129BC"/>
    <w:rsid w:val="00213932"/>
    <w:rsid w:val="0021431F"/>
    <w:rsid w:val="00214866"/>
    <w:rsid w:val="002165E9"/>
    <w:rsid w:val="002166A7"/>
    <w:rsid w:val="002168A6"/>
    <w:rsid w:val="00217ECC"/>
    <w:rsid w:val="00220457"/>
    <w:rsid w:val="0022050B"/>
    <w:rsid w:val="00220B09"/>
    <w:rsid w:val="00221D91"/>
    <w:rsid w:val="002222B0"/>
    <w:rsid w:val="00222C1B"/>
    <w:rsid w:val="00223227"/>
    <w:rsid w:val="00223AA5"/>
    <w:rsid w:val="00224444"/>
    <w:rsid w:val="00225A63"/>
    <w:rsid w:val="00225E2B"/>
    <w:rsid w:val="002266E3"/>
    <w:rsid w:val="00226C55"/>
    <w:rsid w:val="002273C1"/>
    <w:rsid w:val="00227E95"/>
    <w:rsid w:val="00230677"/>
    <w:rsid w:val="00231824"/>
    <w:rsid w:val="0023429F"/>
    <w:rsid w:val="00234310"/>
    <w:rsid w:val="002348D9"/>
    <w:rsid w:val="0023794F"/>
    <w:rsid w:val="00237E90"/>
    <w:rsid w:val="0024018E"/>
    <w:rsid w:val="00241971"/>
    <w:rsid w:val="00242AD7"/>
    <w:rsid w:val="00244267"/>
    <w:rsid w:val="00245149"/>
    <w:rsid w:val="00245BF5"/>
    <w:rsid w:val="00246201"/>
    <w:rsid w:val="00246224"/>
    <w:rsid w:val="00247306"/>
    <w:rsid w:val="00247BED"/>
    <w:rsid w:val="00250587"/>
    <w:rsid w:val="0025402C"/>
    <w:rsid w:val="00254B3D"/>
    <w:rsid w:val="0025592C"/>
    <w:rsid w:val="00255CC0"/>
    <w:rsid w:val="0025669D"/>
    <w:rsid w:val="00256F5B"/>
    <w:rsid w:val="00260EC7"/>
    <w:rsid w:val="0026125D"/>
    <w:rsid w:val="00261284"/>
    <w:rsid w:val="00262065"/>
    <w:rsid w:val="0026364A"/>
    <w:rsid w:val="00263CAB"/>
    <w:rsid w:val="0026475C"/>
    <w:rsid w:val="00264848"/>
    <w:rsid w:val="00267A3C"/>
    <w:rsid w:val="0027035C"/>
    <w:rsid w:val="00270ACA"/>
    <w:rsid w:val="00271E5F"/>
    <w:rsid w:val="002733D0"/>
    <w:rsid w:val="0027366E"/>
    <w:rsid w:val="00273AB4"/>
    <w:rsid w:val="00273C32"/>
    <w:rsid w:val="00273E23"/>
    <w:rsid w:val="00274E81"/>
    <w:rsid w:val="00277CAE"/>
    <w:rsid w:val="002800E4"/>
    <w:rsid w:val="00281BCA"/>
    <w:rsid w:val="00282314"/>
    <w:rsid w:val="00282A47"/>
    <w:rsid w:val="00282FDC"/>
    <w:rsid w:val="00283532"/>
    <w:rsid w:val="00283E2E"/>
    <w:rsid w:val="00284E06"/>
    <w:rsid w:val="00285F47"/>
    <w:rsid w:val="00286098"/>
    <w:rsid w:val="0028711E"/>
    <w:rsid w:val="00287F5C"/>
    <w:rsid w:val="00290477"/>
    <w:rsid w:val="00290546"/>
    <w:rsid w:val="002906CF"/>
    <w:rsid w:val="00291720"/>
    <w:rsid w:val="00291D50"/>
    <w:rsid w:val="0029222D"/>
    <w:rsid w:val="0029226F"/>
    <w:rsid w:val="00292F3E"/>
    <w:rsid w:val="00293EDE"/>
    <w:rsid w:val="00295270"/>
    <w:rsid w:val="00295379"/>
    <w:rsid w:val="00295D26"/>
    <w:rsid w:val="00297106"/>
    <w:rsid w:val="002971AA"/>
    <w:rsid w:val="0029750C"/>
    <w:rsid w:val="002A07F7"/>
    <w:rsid w:val="002A16F8"/>
    <w:rsid w:val="002A2E7B"/>
    <w:rsid w:val="002A50B4"/>
    <w:rsid w:val="002A544B"/>
    <w:rsid w:val="002A5A51"/>
    <w:rsid w:val="002A5F5B"/>
    <w:rsid w:val="002A70F0"/>
    <w:rsid w:val="002A7350"/>
    <w:rsid w:val="002A7359"/>
    <w:rsid w:val="002B0145"/>
    <w:rsid w:val="002B18AB"/>
    <w:rsid w:val="002B1EE7"/>
    <w:rsid w:val="002B2A94"/>
    <w:rsid w:val="002B2BE1"/>
    <w:rsid w:val="002B2D71"/>
    <w:rsid w:val="002B36C6"/>
    <w:rsid w:val="002B37DC"/>
    <w:rsid w:val="002B3C27"/>
    <w:rsid w:val="002B7A4A"/>
    <w:rsid w:val="002B7B05"/>
    <w:rsid w:val="002C10CC"/>
    <w:rsid w:val="002C1D89"/>
    <w:rsid w:val="002C1EF6"/>
    <w:rsid w:val="002C2026"/>
    <w:rsid w:val="002C4082"/>
    <w:rsid w:val="002C41F2"/>
    <w:rsid w:val="002C42A8"/>
    <w:rsid w:val="002C4C38"/>
    <w:rsid w:val="002C6AEE"/>
    <w:rsid w:val="002C6F04"/>
    <w:rsid w:val="002C7AE7"/>
    <w:rsid w:val="002C7C9D"/>
    <w:rsid w:val="002D047E"/>
    <w:rsid w:val="002D0E48"/>
    <w:rsid w:val="002D112D"/>
    <w:rsid w:val="002D1891"/>
    <w:rsid w:val="002D2540"/>
    <w:rsid w:val="002D2707"/>
    <w:rsid w:val="002D437B"/>
    <w:rsid w:val="002D5432"/>
    <w:rsid w:val="002D5DB0"/>
    <w:rsid w:val="002D647E"/>
    <w:rsid w:val="002D6A58"/>
    <w:rsid w:val="002D718A"/>
    <w:rsid w:val="002E03D0"/>
    <w:rsid w:val="002E0414"/>
    <w:rsid w:val="002E197B"/>
    <w:rsid w:val="002E1A67"/>
    <w:rsid w:val="002E1A79"/>
    <w:rsid w:val="002E25F5"/>
    <w:rsid w:val="002E28AC"/>
    <w:rsid w:val="002E3ACD"/>
    <w:rsid w:val="002E3D8C"/>
    <w:rsid w:val="002E4760"/>
    <w:rsid w:val="002E4BCB"/>
    <w:rsid w:val="002E5D36"/>
    <w:rsid w:val="002F0743"/>
    <w:rsid w:val="002F18A7"/>
    <w:rsid w:val="002F2A0B"/>
    <w:rsid w:val="002F3825"/>
    <w:rsid w:val="002F3BF2"/>
    <w:rsid w:val="002F3EAA"/>
    <w:rsid w:val="002F3F19"/>
    <w:rsid w:val="002F40FF"/>
    <w:rsid w:val="002F4578"/>
    <w:rsid w:val="002F4DAB"/>
    <w:rsid w:val="002F5C2E"/>
    <w:rsid w:val="002F64CF"/>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07A20"/>
    <w:rsid w:val="00310765"/>
    <w:rsid w:val="003108CA"/>
    <w:rsid w:val="00310904"/>
    <w:rsid w:val="00311EB8"/>
    <w:rsid w:val="00313779"/>
    <w:rsid w:val="003139D8"/>
    <w:rsid w:val="00314A99"/>
    <w:rsid w:val="00315011"/>
    <w:rsid w:val="00320267"/>
    <w:rsid w:val="00320CBF"/>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796"/>
    <w:rsid w:val="0033189C"/>
    <w:rsid w:val="00333E10"/>
    <w:rsid w:val="00334018"/>
    <w:rsid w:val="0033435E"/>
    <w:rsid w:val="00336352"/>
    <w:rsid w:val="00336C95"/>
    <w:rsid w:val="00336CF2"/>
    <w:rsid w:val="003403AE"/>
    <w:rsid w:val="0034173F"/>
    <w:rsid w:val="00341A50"/>
    <w:rsid w:val="00341C8C"/>
    <w:rsid w:val="0034374B"/>
    <w:rsid w:val="00343A4D"/>
    <w:rsid w:val="00344837"/>
    <w:rsid w:val="00344B0A"/>
    <w:rsid w:val="00345227"/>
    <w:rsid w:val="0034580B"/>
    <w:rsid w:val="003463E4"/>
    <w:rsid w:val="00347A7C"/>
    <w:rsid w:val="00350A4B"/>
    <w:rsid w:val="00352B33"/>
    <w:rsid w:val="00352BFE"/>
    <w:rsid w:val="00352D64"/>
    <w:rsid w:val="00353261"/>
    <w:rsid w:val="00355278"/>
    <w:rsid w:val="0035547C"/>
    <w:rsid w:val="00357885"/>
    <w:rsid w:val="0036204B"/>
    <w:rsid w:val="00362E1C"/>
    <w:rsid w:val="00364143"/>
    <w:rsid w:val="00365A4D"/>
    <w:rsid w:val="00367096"/>
    <w:rsid w:val="00367311"/>
    <w:rsid w:val="003717E8"/>
    <w:rsid w:val="003720FF"/>
    <w:rsid w:val="00372487"/>
    <w:rsid w:val="0037249D"/>
    <w:rsid w:val="00372C4C"/>
    <w:rsid w:val="003730EF"/>
    <w:rsid w:val="00374019"/>
    <w:rsid w:val="0037552C"/>
    <w:rsid w:val="00375DC8"/>
    <w:rsid w:val="0037629E"/>
    <w:rsid w:val="00376B1F"/>
    <w:rsid w:val="00376DA1"/>
    <w:rsid w:val="0037719E"/>
    <w:rsid w:val="003774DB"/>
    <w:rsid w:val="0037784F"/>
    <w:rsid w:val="00381B82"/>
    <w:rsid w:val="0038482E"/>
    <w:rsid w:val="00387094"/>
    <w:rsid w:val="0038762C"/>
    <w:rsid w:val="003918BC"/>
    <w:rsid w:val="00392C80"/>
    <w:rsid w:val="00393247"/>
    <w:rsid w:val="00394CBE"/>
    <w:rsid w:val="00395015"/>
    <w:rsid w:val="00395AC7"/>
    <w:rsid w:val="003A08C5"/>
    <w:rsid w:val="003A0DA3"/>
    <w:rsid w:val="003A1150"/>
    <w:rsid w:val="003A2186"/>
    <w:rsid w:val="003A260E"/>
    <w:rsid w:val="003A2F94"/>
    <w:rsid w:val="003A3557"/>
    <w:rsid w:val="003A3D43"/>
    <w:rsid w:val="003A4649"/>
    <w:rsid w:val="003A5A98"/>
    <w:rsid w:val="003A5C51"/>
    <w:rsid w:val="003A5F89"/>
    <w:rsid w:val="003A6A2A"/>
    <w:rsid w:val="003A7454"/>
    <w:rsid w:val="003A7543"/>
    <w:rsid w:val="003A7AF2"/>
    <w:rsid w:val="003B14C2"/>
    <w:rsid w:val="003B1B5C"/>
    <w:rsid w:val="003B1ECC"/>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733"/>
    <w:rsid w:val="003E0CB6"/>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3510"/>
    <w:rsid w:val="003F438A"/>
    <w:rsid w:val="003F51AC"/>
    <w:rsid w:val="003F5A3E"/>
    <w:rsid w:val="003F6710"/>
    <w:rsid w:val="003F697E"/>
    <w:rsid w:val="003F754F"/>
    <w:rsid w:val="003F7F9E"/>
    <w:rsid w:val="00401545"/>
    <w:rsid w:val="0040175F"/>
    <w:rsid w:val="004022FE"/>
    <w:rsid w:val="00402694"/>
    <w:rsid w:val="00403185"/>
    <w:rsid w:val="00403769"/>
    <w:rsid w:val="0040538D"/>
    <w:rsid w:val="004057A7"/>
    <w:rsid w:val="00406447"/>
    <w:rsid w:val="0040714F"/>
    <w:rsid w:val="004074EE"/>
    <w:rsid w:val="004077CE"/>
    <w:rsid w:val="00407B0C"/>
    <w:rsid w:val="00407D64"/>
    <w:rsid w:val="0041030E"/>
    <w:rsid w:val="0041098F"/>
    <w:rsid w:val="00411530"/>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5F08"/>
    <w:rsid w:val="00426C2E"/>
    <w:rsid w:val="00426E11"/>
    <w:rsid w:val="00427A05"/>
    <w:rsid w:val="00427F1B"/>
    <w:rsid w:val="004301AF"/>
    <w:rsid w:val="00430A74"/>
    <w:rsid w:val="00432CCD"/>
    <w:rsid w:val="00432CE1"/>
    <w:rsid w:val="00434E88"/>
    <w:rsid w:val="0043515D"/>
    <w:rsid w:val="0043751C"/>
    <w:rsid w:val="0043788C"/>
    <w:rsid w:val="0044062C"/>
    <w:rsid w:val="00440976"/>
    <w:rsid w:val="00440B9A"/>
    <w:rsid w:val="00440D94"/>
    <w:rsid w:val="00441BCB"/>
    <w:rsid w:val="00442916"/>
    <w:rsid w:val="00442B92"/>
    <w:rsid w:val="00442CDD"/>
    <w:rsid w:val="00443B7C"/>
    <w:rsid w:val="00444A77"/>
    <w:rsid w:val="00445733"/>
    <w:rsid w:val="00445F25"/>
    <w:rsid w:val="00445FD8"/>
    <w:rsid w:val="004468EE"/>
    <w:rsid w:val="00446BDF"/>
    <w:rsid w:val="00447C05"/>
    <w:rsid w:val="00450B6B"/>
    <w:rsid w:val="00450BDE"/>
    <w:rsid w:val="00450FA7"/>
    <w:rsid w:val="00451134"/>
    <w:rsid w:val="00451A3A"/>
    <w:rsid w:val="00451DCB"/>
    <w:rsid w:val="00455C91"/>
    <w:rsid w:val="0045639E"/>
    <w:rsid w:val="00457C99"/>
    <w:rsid w:val="00460946"/>
    <w:rsid w:val="004613B5"/>
    <w:rsid w:val="00462235"/>
    <w:rsid w:val="00462E26"/>
    <w:rsid w:val="00462FAE"/>
    <w:rsid w:val="00463D50"/>
    <w:rsid w:val="004661AB"/>
    <w:rsid w:val="0046663A"/>
    <w:rsid w:val="00466769"/>
    <w:rsid w:val="00466C07"/>
    <w:rsid w:val="00467DCD"/>
    <w:rsid w:val="0047082D"/>
    <w:rsid w:val="00470845"/>
    <w:rsid w:val="0047097D"/>
    <w:rsid w:val="00471BBC"/>
    <w:rsid w:val="0047399C"/>
    <w:rsid w:val="00473C55"/>
    <w:rsid w:val="00473C8B"/>
    <w:rsid w:val="0047498D"/>
    <w:rsid w:val="00475636"/>
    <w:rsid w:val="00476802"/>
    <w:rsid w:val="00482878"/>
    <w:rsid w:val="0048287D"/>
    <w:rsid w:val="00483343"/>
    <w:rsid w:val="00483FEC"/>
    <w:rsid w:val="00484452"/>
    <w:rsid w:val="00484454"/>
    <w:rsid w:val="0048446C"/>
    <w:rsid w:val="004846CF"/>
    <w:rsid w:val="0048475F"/>
    <w:rsid w:val="00485D63"/>
    <w:rsid w:val="00486D7A"/>
    <w:rsid w:val="00487465"/>
    <w:rsid w:val="00487F52"/>
    <w:rsid w:val="00490325"/>
    <w:rsid w:val="00490393"/>
    <w:rsid w:val="00490729"/>
    <w:rsid w:val="00491666"/>
    <w:rsid w:val="00491971"/>
    <w:rsid w:val="004926AE"/>
    <w:rsid w:val="0049285C"/>
    <w:rsid w:val="00492C1C"/>
    <w:rsid w:val="0049323A"/>
    <w:rsid w:val="00494726"/>
    <w:rsid w:val="004954DA"/>
    <w:rsid w:val="004960D5"/>
    <w:rsid w:val="004964A3"/>
    <w:rsid w:val="00497460"/>
    <w:rsid w:val="00497494"/>
    <w:rsid w:val="004976F2"/>
    <w:rsid w:val="004A2583"/>
    <w:rsid w:val="004A4331"/>
    <w:rsid w:val="004A5375"/>
    <w:rsid w:val="004A5FD9"/>
    <w:rsid w:val="004A6F87"/>
    <w:rsid w:val="004A6FF4"/>
    <w:rsid w:val="004A7071"/>
    <w:rsid w:val="004B0216"/>
    <w:rsid w:val="004B10DE"/>
    <w:rsid w:val="004B1F8B"/>
    <w:rsid w:val="004B20F3"/>
    <w:rsid w:val="004B2331"/>
    <w:rsid w:val="004B33D7"/>
    <w:rsid w:val="004B4803"/>
    <w:rsid w:val="004B4D17"/>
    <w:rsid w:val="004B4FBE"/>
    <w:rsid w:val="004B5224"/>
    <w:rsid w:val="004B5A36"/>
    <w:rsid w:val="004B5D94"/>
    <w:rsid w:val="004B64BB"/>
    <w:rsid w:val="004B6AA1"/>
    <w:rsid w:val="004B6D0B"/>
    <w:rsid w:val="004C064F"/>
    <w:rsid w:val="004C24C6"/>
    <w:rsid w:val="004C3824"/>
    <w:rsid w:val="004C38C3"/>
    <w:rsid w:val="004C563D"/>
    <w:rsid w:val="004C6BF1"/>
    <w:rsid w:val="004C7383"/>
    <w:rsid w:val="004C74AF"/>
    <w:rsid w:val="004D1CEB"/>
    <w:rsid w:val="004D229B"/>
    <w:rsid w:val="004D2B18"/>
    <w:rsid w:val="004D3EBD"/>
    <w:rsid w:val="004D6319"/>
    <w:rsid w:val="004D6B9E"/>
    <w:rsid w:val="004D7F57"/>
    <w:rsid w:val="004E002D"/>
    <w:rsid w:val="004E135B"/>
    <w:rsid w:val="004E26A8"/>
    <w:rsid w:val="004E2910"/>
    <w:rsid w:val="004E35B6"/>
    <w:rsid w:val="004E4674"/>
    <w:rsid w:val="004E548A"/>
    <w:rsid w:val="004E58CD"/>
    <w:rsid w:val="004F0408"/>
    <w:rsid w:val="004F0AAE"/>
    <w:rsid w:val="004F1695"/>
    <w:rsid w:val="004F2666"/>
    <w:rsid w:val="004F2FC0"/>
    <w:rsid w:val="004F30D0"/>
    <w:rsid w:val="004F4433"/>
    <w:rsid w:val="004F4854"/>
    <w:rsid w:val="004F5543"/>
    <w:rsid w:val="004F5E16"/>
    <w:rsid w:val="004F6067"/>
    <w:rsid w:val="004F62E1"/>
    <w:rsid w:val="004F748A"/>
    <w:rsid w:val="004F77DC"/>
    <w:rsid w:val="005009CD"/>
    <w:rsid w:val="0050109B"/>
    <w:rsid w:val="0050273A"/>
    <w:rsid w:val="00502FA5"/>
    <w:rsid w:val="00504620"/>
    <w:rsid w:val="00504E55"/>
    <w:rsid w:val="00505243"/>
    <w:rsid w:val="00505A81"/>
    <w:rsid w:val="00505AC7"/>
    <w:rsid w:val="005073E2"/>
    <w:rsid w:val="00510DAC"/>
    <w:rsid w:val="00511263"/>
    <w:rsid w:val="0051172E"/>
    <w:rsid w:val="00512446"/>
    <w:rsid w:val="0051306B"/>
    <w:rsid w:val="0051359A"/>
    <w:rsid w:val="00513A0A"/>
    <w:rsid w:val="00513AC0"/>
    <w:rsid w:val="00513C27"/>
    <w:rsid w:val="00514C2F"/>
    <w:rsid w:val="00514F07"/>
    <w:rsid w:val="0051522C"/>
    <w:rsid w:val="005169B9"/>
    <w:rsid w:val="00516B34"/>
    <w:rsid w:val="00517069"/>
    <w:rsid w:val="00517B15"/>
    <w:rsid w:val="00521825"/>
    <w:rsid w:val="00521890"/>
    <w:rsid w:val="005220C9"/>
    <w:rsid w:val="00522122"/>
    <w:rsid w:val="0052219A"/>
    <w:rsid w:val="00522CAB"/>
    <w:rsid w:val="005241C8"/>
    <w:rsid w:val="0052482C"/>
    <w:rsid w:val="0052557B"/>
    <w:rsid w:val="0052581A"/>
    <w:rsid w:val="00526425"/>
    <w:rsid w:val="005264B1"/>
    <w:rsid w:val="0052744F"/>
    <w:rsid w:val="0053262F"/>
    <w:rsid w:val="0053437C"/>
    <w:rsid w:val="00535B3A"/>
    <w:rsid w:val="00535F21"/>
    <w:rsid w:val="00536240"/>
    <w:rsid w:val="00542253"/>
    <w:rsid w:val="005422F1"/>
    <w:rsid w:val="00542513"/>
    <w:rsid w:val="005433FA"/>
    <w:rsid w:val="00543DD2"/>
    <w:rsid w:val="005451A1"/>
    <w:rsid w:val="0054551C"/>
    <w:rsid w:val="00545B4A"/>
    <w:rsid w:val="00545B6C"/>
    <w:rsid w:val="005465E9"/>
    <w:rsid w:val="00546CFA"/>
    <w:rsid w:val="00550107"/>
    <w:rsid w:val="0055028B"/>
    <w:rsid w:val="005518EC"/>
    <w:rsid w:val="00551A31"/>
    <w:rsid w:val="00551A49"/>
    <w:rsid w:val="00551F07"/>
    <w:rsid w:val="00552732"/>
    <w:rsid w:val="00552CCA"/>
    <w:rsid w:val="005530F9"/>
    <w:rsid w:val="0055443F"/>
    <w:rsid w:val="005552F0"/>
    <w:rsid w:val="005557AD"/>
    <w:rsid w:val="00555E44"/>
    <w:rsid w:val="005563E9"/>
    <w:rsid w:val="005604BC"/>
    <w:rsid w:val="00560550"/>
    <w:rsid w:val="00560AE0"/>
    <w:rsid w:val="00561489"/>
    <w:rsid w:val="00561A2E"/>
    <w:rsid w:val="00562721"/>
    <w:rsid w:val="00565474"/>
    <w:rsid w:val="00566382"/>
    <w:rsid w:val="005669E0"/>
    <w:rsid w:val="00566CF0"/>
    <w:rsid w:val="00567EBC"/>
    <w:rsid w:val="00570423"/>
    <w:rsid w:val="00571232"/>
    <w:rsid w:val="0057145B"/>
    <w:rsid w:val="00571C2D"/>
    <w:rsid w:val="00574410"/>
    <w:rsid w:val="005748E6"/>
    <w:rsid w:val="0057505D"/>
    <w:rsid w:val="00575222"/>
    <w:rsid w:val="00575E8D"/>
    <w:rsid w:val="00577A58"/>
    <w:rsid w:val="00577AA0"/>
    <w:rsid w:val="00580274"/>
    <w:rsid w:val="00581039"/>
    <w:rsid w:val="00583C42"/>
    <w:rsid w:val="005844D3"/>
    <w:rsid w:val="00584A8A"/>
    <w:rsid w:val="00585607"/>
    <w:rsid w:val="00585649"/>
    <w:rsid w:val="0058599A"/>
    <w:rsid w:val="00585F15"/>
    <w:rsid w:val="005866CC"/>
    <w:rsid w:val="00590113"/>
    <w:rsid w:val="00590D0C"/>
    <w:rsid w:val="00591818"/>
    <w:rsid w:val="005924B1"/>
    <w:rsid w:val="00592D01"/>
    <w:rsid w:val="00593412"/>
    <w:rsid w:val="0059394A"/>
    <w:rsid w:val="00593BA2"/>
    <w:rsid w:val="00593DC0"/>
    <w:rsid w:val="00594CE5"/>
    <w:rsid w:val="005950C4"/>
    <w:rsid w:val="00595213"/>
    <w:rsid w:val="00595911"/>
    <w:rsid w:val="005969AD"/>
    <w:rsid w:val="005A10D4"/>
    <w:rsid w:val="005A2D5A"/>
    <w:rsid w:val="005A305A"/>
    <w:rsid w:val="005A31C5"/>
    <w:rsid w:val="005A40EB"/>
    <w:rsid w:val="005A54E5"/>
    <w:rsid w:val="005A6A0F"/>
    <w:rsid w:val="005A7BB0"/>
    <w:rsid w:val="005B0CE4"/>
    <w:rsid w:val="005B0E5B"/>
    <w:rsid w:val="005B261B"/>
    <w:rsid w:val="005B29B3"/>
    <w:rsid w:val="005B38FC"/>
    <w:rsid w:val="005B4B64"/>
    <w:rsid w:val="005B4CA8"/>
    <w:rsid w:val="005B4F7A"/>
    <w:rsid w:val="005B5E7E"/>
    <w:rsid w:val="005B6B03"/>
    <w:rsid w:val="005B73C1"/>
    <w:rsid w:val="005B7681"/>
    <w:rsid w:val="005B7D46"/>
    <w:rsid w:val="005B7E9E"/>
    <w:rsid w:val="005C0FB2"/>
    <w:rsid w:val="005C16E7"/>
    <w:rsid w:val="005C242E"/>
    <w:rsid w:val="005C2CE4"/>
    <w:rsid w:val="005C3883"/>
    <w:rsid w:val="005C4135"/>
    <w:rsid w:val="005C423F"/>
    <w:rsid w:val="005C4611"/>
    <w:rsid w:val="005C4644"/>
    <w:rsid w:val="005C491F"/>
    <w:rsid w:val="005C4F79"/>
    <w:rsid w:val="005C5206"/>
    <w:rsid w:val="005C56EF"/>
    <w:rsid w:val="005C65A3"/>
    <w:rsid w:val="005C67D0"/>
    <w:rsid w:val="005C6C17"/>
    <w:rsid w:val="005C70FE"/>
    <w:rsid w:val="005C7541"/>
    <w:rsid w:val="005C7C29"/>
    <w:rsid w:val="005C7CE4"/>
    <w:rsid w:val="005D02A3"/>
    <w:rsid w:val="005D0953"/>
    <w:rsid w:val="005D1894"/>
    <w:rsid w:val="005D23E3"/>
    <w:rsid w:val="005D2FD4"/>
    <w:rsid w:val="005D420E"/>
    <w:rsid w:val="005D4535"/>
    <w:rsid w:val="005D4EEC"/>
    <w:rsid w:val="005D6EA6"/>
    <w:rsid w:val="005D7356"/>
    <w:rsid w:val="005E0137"/>
    <w:rsid w:val="005E02ED"/>
    <w:rsid w:val="005E1198"/>
    <w:rsid w:val="005E1856"/>
    <w:rsid w:val="005E1CEA"/>
    <w:rsid w:val="005E2060"/>
    <w:rsid w:val="005E24EF"/>
    <w:rsid w:val="005E28BB"/>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49C5"/>
    <w:rsid w:val="005F7274"/>
    <w:rsid w:val="005F7968"/>
    <w:rsid w:val="006012EB"/>
    <w:rsid w:val="00601420"/>
    <w:rsid w:val="00602B94"/>
    <w:rsid w:val="00602F9F"/>
    <w:rsid w:val="00603007"/>
    <w:rsid w:val="00603739"/>
    <w:rsid w:val="00603CCA"/>
    <w:rsid w:val="006060D7"/>
    <w:rsid w:val="00606DFB"/>
    <w:rsid w:val="00610534"/>
    <w:rsid w:val="00610C2D"/>
    <w:rsid w:val="00611144"/>
    <w:rsid w:val="0061353D"/>
    <w:rsid w:val="00613B6F"/>
    <w:rsid w:val="006145AD"/>
    <w:rsid w:val="006147FD"/>
    <w:rsid w:val="0061591D"/>
    <w:rsid w:val="00620158"/>
    <w:rsid w:val="006201A9"/>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1CBF"/>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955"/>
    <w:rsid w:val="00664EA0"/>
    <w:rsid w:val="0066634D"/>
    <w:rsid w:val="00666CBB"/>
    <w:rsid w:val="00666EB6"/>
    <w:rsid w:val="00667664"/>
    <w:rsid w:val="006677BB"/>
    <w:rsid w:val="0067014A"/>
    <w:rsid w:val="0067037A"/>
    <w:rsid w:val="006707D3"/>
    <w:rsid w:val="00670EE3"/>
    <w:rsid w:val="00671B09"/>
    <w:rsid w:val="00671E31"/>
    <w:rsid w:val="006731F3"/>
    <w:rsid w:val="006738AF"/>
    <w:rsid w:val="00673F23"/>
    <w:rsid w:val="00674BF4"/>
    <w:rsid w:val="006763E9"/>
    <w:rsid w:val="00676F40"/>
    <w:rsid w:val="00682662"/>
    <w:rsid w:val="0068467E"/>
    <w:rsid w:val="00684961"/>
    <w:rsid w:val="00685DBF"/>
    <w:rsid w:val="00685EC0"/>
    <w:rsid w:val="00686758"/>
    <w:rsid w:val="00690466"/>
    <w:rsid w:val="00691624"/>
    <w:rsid w:val="00691AA7"/>
    <w:rsid w:val="00695725"/>
    <w:rsid w:val="00695952"/>
    <w:rsid w:val="00695A4C"/>
    <w:rsid w:val="00695AB0"/>
    <w:rsid w:val="00696D19"/>
    <w:rsid w:val="00696FB2"/>
    <w:rsid w:val="006972B9"/>
    <w:rsid w:val="00697BD9"/>
    <w:rsid w:val="006A00FE"/>
    <w:rsid w:val="006A024B"/>
    <w:rsid w:val="006A21D0"/>
    <w:rsid w:val="006A2363"/>
    <w:rsid w:val="006A2E5B"/>
    <w:rsid w:val="006A3181"/>
    <w:rsid w:val="006A53D5"/>
    <w:rsid w:val="006A5ADC"/>
    <w:rsid w:val="006A6639"/>
    <w:rsid w:val="006A7838"/>
    <w:rsid w:val="006B0E21"/>
    <w:rsid w:val="006B131B"/>
    <w:rsid w:val="006B2627"/>
    <w:rsid w:val="006B2AE0"/>
    <w:rsid w:val="006B4112"/>
    <w:rsid w:val="006B4B67"/>
    <w:rsid w:val="006B5B69"/>
    <w:rsid w:val="006B5BD4"/>
    <w:rsid w:val="006B61A1"/>
    <w:rsid w:val="006B6921"/>
    <w:rsid w:val="006B6B15"/>
    <w:rsid w:val="006B6DAF"/>
    <w:rsid w:val="006B6E1C"/>
    <w:rsid w:val="006B7113"/>
    <w:rsid w:val="006B792C"/>
    <w:rsid w:val="006C0348"/>
    <w:rsid w:val="006C0BD1"/>
    <w:rsid w:val="006C0CCF"/>
    <w:rsid w:val="006C20E0"/>
    <w:rsid w:val="006C2F56"/>
    <w:rsid w:val="006C35F0"/>
    <w:rsid w:val="006C5E02"/>
    <w:rsid w:val="006C62C0"/>
    <w:rsid w:val="006C6376"/>
    <w:rsid w:val="006C696F"/>
    <w:rsid w:val="006C7B62"/>
    <w:rsid w:val="006C7C34"/>
    <w:rsid w:val="006C7C53"/>
    <w:rsid w:val="006D116C"/>
    <w:rsid w:val="006D311D"/>
    <w:rsid w:val="006D5962"/>
    <w:rsid w:val="006D64B8"/>
    <w:rsid w:val="006D6B7F"/>
    <w:rsid w:val="006D7972"/>
    <w:rsid w:val="006E2277"/>
    <w:rsid w:val="006E27D1"/>
    <w:rsid w:val="006E2BC9"/>
    <w:rsid w:val="006E2D34"/>
    <w:rsid w:val="006E30F6"/>
    <w:rsid w:val="006E34BF"/>
    <w:rsid w:val="006E400D"/>
    <w:rsid w:val="006E458D"/>
    <w:rsid w:val="006E55BF"/>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06C"/>
    <w:rsid w:val="00701ACB"/>
    <w:rsid w:val="007023B7"/>
    <w:rsid w:val="0070362A"/>
    <w:rsid w:val="00703CAD"/>
    <w:rsid w:val="0070422F"/>
    <w:rsid w:val="00704408"/>
    <w:rsid w:val="00704449"/>
    <w:rsid w:val="007045DE"/>
    <w:rsid w:val="007071A7"/>
    <w:rsid w:val="00707399"/>
    <w:rsid w:val="007109E3"/>
    <w:rsid w:val="00712CDD"/>
    <w:rsid w:val="00712DC4"/>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625"/>
    <w:rsid w:val="00731A21"/>
    <w:rsid w:val="0073304A"/>
    <w:rsid w:val="007343CC"/>
    <w:rsid w:val="0073528B"/>
    <w:rsid w:val="00735442"/>
    <w:rsid w:val="007362E7"/>
    <w:rsid w:val="00736EF2"/>
    <w:rsid w:val="007370C2"/>
    <w:rsid w:val="00740114"/>
    <w:rsid w:val="007408D3"/>
    <w:rsid w:val="007435A6"/>
    <w:rsid w:val="00743D66"/>
    <w:rsid w:val="00743DDA"/>
    <w:rsid w:val="00745917"/>
    <w:rsid w:val="0074717B"/>
    <w:rsid w:val="00747766"/>
    <w:rsid w:val="00750D3B"/>
    <w:rsid w:val="0075383D"/>
    <w:rsid w:val="0075488B"/>
    <w:rsid w:val="00755199"/>
    <w:rsid w:val="00755B71"/>
    <w:rsid w:val="00757EBE"/>
    <w:rsid w:val="00760BE4"/>
    <w:rsid w:val="00762416"/>
    <w:rsid w:val="007625C6"/>
    <w:rsid w:val="00764CCE"/>
    <w:rsid w:val="0076676A"/>
    <w:rsid w:val="007668C6"/>
    <w:rsid w:val="00767213"/>
    <w:rsid w:val="007678D6"/>
    <w:rsid w:val="00771A3F"/>
    <w:rsid w:val="007738E2"/>
    <w:rsid w:val="00773DC4"/>
    <w:rsid w:val="0077438C"/>
    <w:rsid w:val="00774B00"/>
    <w:rsid w:val="007761C1"/>
    <w:rsid w:val="00776CC7"/>
    <w:rsid w:val="00776F25"/>
    <w:rsid w:val="00777E6D"/>
    <w:rsid w:val="00780487"/>
    <w:rsid w:val="0078066E"/>
    <w:rsid w:val="00782065"/>
    <w:rsid w:val="00782D8E"/>
    <w:rsid w:val="007833B1"/>
    <w:rsid w:val="007837C7"/>
    <w:rsid w:val="0078531A"/>
    <w:rsid w:val="00785456"/>
    <w:rsid w:val="007870BE"/>
    <w:rsid w:val="00787E14"/>
    <w:rsid w:val="0079102B"/>
    <w:rsid w:val="007925B1"/>
    <w:rsid w:val="0079291B"/>
    <w:rsid w:val="00793380"/>
    <w:rsid w:val="007935D9"/>
    <w:rsid w:val="00793FD8"/>
    <w:rsid w:val="00796072"/>
    <w:rsid w:val="0079680B"/>
    <w:rsid w:val="0079759A"/>
    <w:rsid w:val="00797A8E"/>
    <w:rsid w:val="00797CEE"/>
    <w:rsid w:val="00797FDB"/>
    <w:rsid w:val="007A286E"/>
    <w:rsid w:val="007A333A"/>
    <w:rsid w:val="007A3F8C"/>
    <w:rsid w:val="007A43D0"/>
    <w:rsid w:val="007A4A67"/>
    <w:rsid w:val="007A4B23"/>
    <w:rsid w:val="007A4ED5"/>
    <w:rsid w:val="007A5A15"/>
    <w:rsid w:val="007A6EAC"/>
    <w:rsid w:val="007A78E2"/>
    <w:rsid w:val="007A7B96"/>
    <w:rsid w:val="007A7BC5"/>
    <w:rsid w:val="007A7D3A"/>
    <w:rsid w:val="007B01B4"/>
    <w:rsid w:val="007B0475"/>
    <w:rsid w:val="007B098F"/>
    <w:rsid w:val="007B11D7"/>
    <w:rsid w:val="007B149C"/>
    <w:rsid w:val="007B1789"/>
    <w:rsid w:val="007B1E63"/>
    <w:rsid w:val="007B4B42"/>
    <w:rsid w:val="007B4DAD"/>
    <w:rsid w:val="007B4E04"/>
    <w:rsid w:val="007B52E9"/>
    <w:rsid w:val="007B76BE"/>
    <w:rsid w:val="007C08D0"/>
    <w:rsid w:val="007C0B18"/>
    <w:rsid w:val="007C10AB"/>
    <w:rsid w:val="007C12CF"/>
    <w:rsid w:val="007C201E"/>
    <w:rsid w:val="007C2732"/>
    <w:rsid w:val="007C2EF2"/>
    <w:rsid w:val="007C391F"/>
    <w:rsid w:val="007C3A9A"/>
    <w:rsid w:val="007C3BC8"/>
    <w:rsid w:val="007C3E88"/>
    <w:rsid w:val="007C4779"/>
    <w:rsid w:val="007C51DD"/>
    <w:rsid w:val="007C52AF"/>
    <w:rsid w:val="007C5817"/>
    <w:rsid w:val="007C5AA7"/>
    <w:rsid w:val="007C664D"/>
    <w:rsid w:val="007C7CA7"/>
    <w:rsid w:val="007C7FF0"/>
    <w:rsid w:val="007D08CD"/>
    <w:rsid w:val="007D27CA"/>
    <w:rsid w:val="007D4338"/>
    <w:rsid w:val="007D5670"/>
    <w:rsid w:val="007D6566"/>
    <w:rsid w:val="007E0620"/>
    <w:rsid w:val="007E07C1"/>
    <w:rsid w:val="007E0821"/>
    <w:rsid w:val="007E1E8C"/>
    <w:rsid w:val="007E264A"/>
    <w:rsid w:val="007E2E1A"/>
    <w:rsid w:val="007E357C"/>
    <w:rsid w:val="007E3C49"/>
    <w:rsid w:val="007E40BD"/>
    <w:rsid w:val="007E4181"/>
    <w:rsid w:val="007E4883"/>
    <w:rsid w:val="007E4E2E"/>
    <w:rsid w:val="007E5354"/>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326"/>
    <w:rsid w:val="0080148C"/>
    <w:rsid w:val="008016A0"/>
    <w:rsid w:val="00805A73"/>
    <w:rsid w:val="00805A8C"/>
    <w:rsid w:val="00805BED"/>
    <w:rsid w:val="0081072E"/>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18A6"/>
    <w:rsid w:val="008229BA"/>
    <w:rsid w:val="0082318A"/>
    <w:rsid w:val="0082450A"/>
    <w:rsid w:val="00824E74"/>
    <w:rsid w:val="00825DCB"/>
    <w:rsid w:val="00826C43"/>
    <w:rsid w:val="00827A19"/>
    <w:rsid w:val="00830043"/>
    <w:rsid w:val="00830C61"/>
    <w:rsid w:val="0083200A"/>
    <w:rsid w:val="00832A95"/>
    <w:rsid w:val="00833326"/>
    <w:rsid w:val="00834DE3"/>
    <w:rsid w:val="0083593E"/>
    <w:rsid w:val="00836E05"/>
    <w:rsid w:val="008372CF"/>
    <w:rsid w:val="00837349"/>
    <w:rsid w:val="00840DA6"/>
    <w:rsid w:val="00840DB3"/>
    <w:rsid w:val="00840FE0"/>
    <w:rsid w:val="00841D95"/>
    <w:rsid w:val="00842FC0"/>
    <w:rsid w:val="00843507"/>
    <w:rsid w:val="008440E1"/>
    <w:rsid w:val="008451D4"/>
    <w:rsid w:val="00845287"/>
    <w:rsid w:val="00845C1D"/>
    <w:rsid w:val="008473EF"/>
    <w:rsid w:val="00847D2F"/>
    <w:rsid w:val="00851DA6"/>
    <w:rsid w:val="0085247F"/>
    <w:rsid w:val="0085253C"/>
    <w:rsid w:val="00852D44"/>
    <w:rsid w:val="00852FFD"/>
    <w:rsid w:val="008538A4"/>
    <w:rsid w:val="008538C9"/>
    <w:rsid w:val="00853A0D"/>
    <w:rsid w:val="00854154"/>
    <w:rsid w:val="0085502F"/>
    <w:rsid w:val="00856023"/>
    <w:rsid w:val="00857016"/>
    <w:rsid w:val="00857057"/>
    <w:rsid w:val="008576A8"/>
    <w:rsid w:val="00857B49"/>
    <w:rsid w:val="00860518"/>
    <w:rsid w:val="008610B6"/>
    <w:rsid w:val="0086191D"/>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5C7"/>
    <w:rsid w:val="00876ABB"/>
    <w:rsid w:val="008773CE"/>
    <w:rsid w:val="00877E78"/>
    <w:rsid w:val="00877F8B"/>
    <w:rsid w:val="00880A85"/>
    <w:rsid w:val="00880C90"/>
    <w:rsid w:val="008811F0"/>
    <w:rsid w:val="00881B31"/>
    <w:rsid w:val="00884122"/>
    <w:rsid w:val="00884D4C"/>
    <w:rsid w:val="008854C2"/>
    <w:rsid w:val="00885793"/>
    <w:rsid w:val="0088695E"/>
    <w:rsid w:val="00886A65"/>
    <w:rsid w:val="008874CE"/>
    <w:rsid w:val="00887CFE"/>
    <w:rsid w:val="00890696"/>
    <w:rsid w:val="00892BE1"/>
    <w:rsid w:val="00892FED"/>
    <w:rsid w:val="0089369E"/>
    <w:rsid w:val="0089383E"/>
    <w:rsid w:val="00895B54"/>
    <w:rsid w:val="008967FF"/>
    <w:rsid w:val="0089695F"/>
    <w:rsid w:val="00896CE4"/>
    <w:rsid w:val="008A0C38"/>
    <w:rsid w:val="008A1CC3"/>
    <w:rsid w:val="008A20AE"/>
    <w:rsid w:val="008A3299"/>
    <w:rsid w:val="008A546C"/>
    <w:rsid w:val="008A5FA3"/>
    <w:rsid w:val="008A6F8B"/>
    <w:rsid w:val="008A742B"/>
    <w:rsid w:val="008B1A06"/>
    <w:rsid w:val="008B36BD"/>
    <w:rsid w:val="008B3FB0"/>
    <w:rsid w:val="008B760C"/>
    <w:rsid w:val="008C0084"/>
    <w:rsid w:val="008C029B"/>
    <w:rsid w:val="008C0CB4"/>
    <w:rsid w:val="008C1785"/>
    <w:rsid w:val="008C1C52"/>
    <w:rsid w:val="008C1E0D"/>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57F"/>
    <w:rsid w:val="008D29D3"/>
    <w:rsid w:val="008D2BBB"/>
    <w:rsid w:val="008D314A"/>
    <w:rsid w:val="008D3AD0"/>
    <w:rsid w:val="008D3BCA"/>
    <w:rsid w:val="008D40A8"/>
    <w:rsid w:val="008D44FA"/>
    <w:rsid w:val="008D511C"/>
    <w:rsid w:val="008D5859"/>
    <w:rsid w:val="008D67C1"/>
    <w:rsid w:val="008D697E"/>
    <w:rsid w:val="008D6C3C"/>
    <w:rsid w:val="008D7C9A"/>
    <w:rsid w:val="008E0A73"/>
    <w:rsid w:val="008E0B00"/>
    <w:rsid w:val="008E0C62"/>
    <w:rsid w:val="008E1744"/>
    <w:rsid w:val="008E2066"/>
    <w:rsid w:val="008E2459"/>
    <w:rsid w:val="008E474E"/>
    <w:rsid w:val="008E5D34"/>
    <w:rsid w:val="008E609D"/>
    <w:rsid w:val="008E60AD"/>
    <w:rsid w:val="008E6A15"/>
    <w:rsid w:val="008E78DC"/>
    <w:rsid w:val="008E7F56"/>
    <w:rsid w:val="008F309A"/>
    <w:rsid w:val="008F3637"/>
    <w:rsid w:val="008F3D27"/>
    <w:rsid w:val="008F47F1"/>
    <w:rsid w:val="008F562F"/>
    <w:rsid w:val="008F6158"/>
    <w:rsid w:val="008F6241"/>
    <w:rsid w:val="008F665C"/>
    <w:rsid w:val="008F7D64"/>
    <w:rsid w:val="0090043B"/>
    <w:rsid w:val="00900DE5"/>
    <w:rsid w:val="009015F5"/>
    <w:rsid w:val="009030B1"/>
    <w:rsid w:val="00904CA6"/>
    <w:rsid w:val="009050ED"/>
    <w:rsid w:val="0091186F"/>
    <w:rsid w:val="009136CB"/>
    <w:rsid w:val="00913BB8"/>
    <w:rsid w:val="00913C74"/>
    <w:rsid w:val="00914326"/>
    <w:rsid w:val="00914400"/>
    <w:rsid w:val="0091589E"/>
    <w:rsid w:val="009159A6"/>
    <w:rsid w:val="009159C7"/>
    <w:rsid w:val="00920727"/>
    <w:rsid w:val="009216EB"/>
    <w:rsid w:val="00921AF7"/>
    <w:rsid w:val="00921C2D"/>
    <w:rsid w:val="009232FA"/>
    <w:rsid w:val="00923F97"/>
    <w:rsid w:val="0092475F"/>
    <w:rsid w:val="0092500A"/>
    <w:rsid w:val="009256FB"/>
    <w:rsid w:val="009260D7"/>
    <w:rsid w:val="00926CC2"/>
    <w:rsid w:val="00926EB4"/>
    <w:rsid w:val="00927106"/>
    <w:rsid w:val="009300B3"/>
    <w:rsid w:val="00930E7A"/>
    <w:rsid w:val="0093141D"/>
    <w:rsid w:val="00931710"/>
    <w:rsid w:val="00931AEE"/>
    <w:rsid w:val="00931F9D"/>
    <w:rsid w:val="00933C1A"/>
    <w:rsid w:val="009348F1"/>
    <w:rsid w:val="00934F7F"/>
    <w:rsid w:val="009350CE"/>
    <w:rsid w:val="0093556C"/>
    <w:rsid w:val="00935645"/>
    <w:rsid w:val="00936F0D"/>
    <w:rsid w:val="00940B0C"/>
    <w:rsid w:val="00941F92"/>
    <w:rsid w:val="0094266F"/>
    <w:rsid w:val="00943792"/>
    <w:rsid w:val="00943939"/>
    <w:rsid w:val="00943BDF"/>
    <w:rsid w:val="0094462B"/>
    <w:rsid w:val="0094502D"/>
    <w:rsid w:val="00946BC1"/>
    <w:rsid w:val="00947BB6"/>
    <w:rsid w:val="00950C93"/>
    <w:rsid w:val="009513C8"/>
    <w:rsid w:val="009518A0"/>
    <w:rsid w:val="0095345D"/>
    <w:rsid w:val="0095458B"/>
    <w:rsid w:val="00954629"/>
    <w:rsid w:val="00954848"/>
    <w:rsid w:val="00954AEC"/>
    <w:rsid w:val="00955B10"/>
    <w:rsid w:val="00955E6B"/>
    <w:rsid w:val="0095614A"/>
    <w:rsid w:val="00960870"/>
    <w:rsid w:val="009616A4"/>
    <w:rsid w:val="0096174D"/>
    <w:rsid w:val="00962D9E"/>
    <w:rsid w:val="009632A1"/>
    <w:rsid w:val="00965FE1"/>
    <w:rsid w:val="009661B0"/>
    <w:rsid w:val="00966569"/>
    <w:rsid w:val="009669EC"/>
    <w:rsid w:val="00966E54"/>
    <w:rsid w:val="00967977"/>
    <w:rsid w:val="00967CC9"/>
    <w:rsid w:val="00971A35"/>
    <w:rsid w:val="00972AAC"/>
    <w:rsid w:val="009732A6"/>
    <w:rsid w:val="009738A4"/>
    <w:rsid w:val="00974EDD"/>
    <w:rsid w:val="00975516"/>
    <w:rsid w:val="00975BD4"/>
    <w:rsid w:val="00976831"/>
    <w:rsid w:val="00977413"/>
    <w:rsid w:val="00977B20"/>
    <w:rsid w:val="00977BBB"/>
    <w:rsid w:val="0098019D"/>
    <w:rsid w:val="00980709"/>
    <w:rsid w:val="00980E3C"/>
    <w:rsid w:val="00981393"/>
    <w:rsid w:val="00981AEE"/>
    <w:rsid w:val="00981EA1"/>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3BF1"/>
    <w:rsid w:val="0099475D"/>
    <w:rsid w:val="00994ED0"/>
    <w:rsid w:val="00995E00"/>
    <w:rsid w:val="009A0654"/>
    <w:rsid w:val="009A0C31"/>
    <w:rsid w:val="009A0FBB"/>
    <w:rsid w:val="009A0FD5"/>
    <w:rsid w:val="009A1D3F"/>
    <w:rsid w:val="009A48C4"/>
    <w:rsid w:val="009A4E90"/>
    <w:rsid w:val="009A705A"/>
    <w:rsid w:val="009A755F"/>
    <w:rsid w:val="009B0B79"/>
    <w:rsid w:val="009B4C82"/>
    <w:rsid w:val="009B5134"/>
    <w:rsid w:val="009B5BFC"/>
    <w:rsid w:val="009B7330"/>
    <w:rsid w:val="009B7B47"/>
    <w:rsid w:val="009C09A8"/>
    <w:rsid w:val="009C0ACC"/>
    <w:rsid w:val="009C1A8A"/>
    <w:rsid w:val="009C278A"/>
    <w:rsid w:val="009C359C"/>
    <w:rsid w:val="009C3669"/>
    <w:rsid w:val="009C38E7"/>
    <w:rsid w:val="009C38EA"/>
    <w:rsid w:val="009C4F22"/>
    <w:rsid w:val="009C59DE"/>
    <w:rsid w:val="009C5DF4"/>
    <w:rsid w:val="009C6C6E"/>
    <w:rsid w:val="009C6E39"/>
    <w:rsid w:val="009C78F6"/>
    <w:rsid w:val="009D0645"/>
    <w:rsid w:val="009D1012"/>
    <w:rsid w:val="009D11CF"/>
    <w:rsid w:val="009D1603"/>
    <w:rsid w:val="009D1710"/>
    <w:rsid w:val="009D217D"/>
    <w:rsid w:val="009D3A8A"/>
    <w:rsid w:val="009D3CC2"/>
    <w:rsid w:val="009D5DB8"/>
    <w:rsid w:val="009D6008"/>
    <w:rsid w:val="009D725A"/>
    <w:rsid w:val="009E07EB"/>
    <w:rsid w:val="009E0B86"/>
    <w:rsid w:val="009E1772"/>
    <w:rsid w:val="009E1C2B"/>
    <w:rsid w:val="009E3978"/>
    <w:rsid w:val="009E4AD9"/>
    <w:rsid w:val="009E5799"/>
    <w:rsid w:val="009E6293"/>
    <w:rsid w:val="009E658A"/>
    <w:rsid w:val="009E7C72"/>
    <w:rsid w:val="009E7CCE"/>
    <w:rsid w:val="009F0915"/>
    <w:rsid w:val="009F126B"/>
    <w:rsid w:val="009F139E"/>
    <w:rsid w:val="009F2321"/>
    <w:rsid w:val="009F3988"/>
    <w:rsid w:val="009F39DC"/>
    <w:rsid w:val="009F51F6"/>
    <w:rsid w:val="009F567F"/>
    <w:rsid w:val="009F6A7A"/>
    <w:rsid w:val="009F6D63"/>
    <w:rsid w:val="009F71CD"/>
    <w:rsid w:val="009F7419"/>
    <w:rsid w:val="009F751D"/>
    <w:rsid w:val="009F765E"/>
    <w:rsid w:val="00A00406"/>
    <w:rsid w:val="00A00775"/>
    <w:rsid w:val="00A01136"/>
    <w:rsid w:val="00A011E3"/>
    <w:rsid w:val="00A04AFF"/>
    <w:rsid w:val="00A05082"/>
    <w:rsid w:val="00A05839"/>
    <w:rsid w:val="00A05A96"/>
    <w:rsid w:val="00A07468"/>
    <w:rsid w:val="00A0750D"/>
    <w:rsid w:val="00A07A5F"/>
    <w:rsid w:val="00A100E2"/>
    <w:rsid w:val="00A10385"/>
    <w:rsid w:val="00A1076B"/>
    <w:rsid w:val="00A10B08"/>
    <w:rsid w:val="00A11091"/>
    <w:rsid w:val="00A11F90"/>
    <w:rsid w:val="00A128F5"/>
    <w:rsid w:val="00A15FFB"/>
    <w:rsid w:val="00A172D8"/>
    <w:rsid w:val="00A20E3A"/>
    <w:rsid w:val="00A221EB"/>
    <w:rsid w:val="00A22EF1"/>
    <w:rsid w:val="00A23953"/>
    <w:rsid w:val="00A23C8C"/>
    <w:rsid w:val="00A23FE4"/>
    <w:rsid w:val="00A24190"/>
    <w:rsid w:val="00A242FE"/>
    <w:rsid w:val="00A24FF6"/>
    <w:rsid w:val="00A257D2"/>
    <w:rsid w:val="00A25AC1"/>
    <w:rsid w:val="00A25B6D"/>
    <w:rsid w:val="00A25C51"/>
    <w:rsid w:val="00A261B9"/>
    <w:rsid w:val="00A26213"/>
    <w:rsid w:val="00A266F3"/>
    <w:rsid w:val="00A26775"/>
    <w:rsid w:val="00A27181"/>
    <w:rsid w:val="00A27224"/>
    <w:rsid w:val="00A30B30"/>
    <w:rsid w:val="00A3140D"/>
    <w:rsid w:val="00A31CC5"/>
    <w:rsid w:val="00A32754"/>
    <w:rsid w:val="00A3289E"/>
    <w:rsid w:val="00A32DDA"/>
    <w:rsid w:val="00A331BE"/>
    <w:rsid w:val="00A3336E"/>
    <w:rsid w:val="00A333D0"/>
    <w:rsid w:val="00A34BAA"/>
    <w:rsid w:val="00A34EF8"/>
    <w:rsid w:val="00A352A5"/>
    <w:rsid w:val="00A36BE3"/>
    <w:rsid w:val="00A3705E"/>
    <w:rsid w:val="00A37342"/>
    <w:rsid w:val="00A415F5"/>
    <w:rsid w:val="00A42494"/>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459"/>
    <w:rsid w:val="00A67B53"/>
    <w:rsid w:val="00A67E4B"/>
    <w:rsid w:val="00A70266"/>
    <w:rsid w:val="00A70D86"/>
    <w:rsid w:val="00A724BD"/>
    <w:rsid w:val="00A72BFF"/>
    <w:rsid w:val="00A73586"/>
    <w:rsid w:val="00A750A2"/>
    <w:rsid w:val="00A75202"/>
    <w:rsid w:val="00A757DC"/>
    <w:rsid w:val="00A7584A"/>
    <w:rsid w:val="00A7597B"/>
    <w:rsid w:val="00A75AB6"/>
    <w:rsid w:val="00A75D8C"/>
    <w:rsid w:val="00A76186"/>
    <w:rsid w:val="00A76293"/>
    <w:rsid w:val="00A7695D"/>
    <w:rsid w:val="00A769F6"/>
    <w:rsid w:val="00A76F15"/>
    <w:rsid w:val="00A7789F"/>
    <w:rsid w:val="00A77D50"/>
    <w:rsid w:val="00A77F97"/>
    <w:rsid w:val="00A81D56"/>
    <w:rsid w:val="00A8247A"/>
    <w:rsid w:val="00A82C24"/>
    <w:rsid w:val="00A82CBA"/>
    <w:rsid w:val="00A83C80"/>
    <w:rsid w:val="00A83EAE"/>
    <w:rsid w:val="00A8485B"/>
    <w:rsid w:val="00A84F45"/>
    <w:rsid w:val="00A85FFA"/>
    <w:rsid w:val="00A871A5"/>
    <w:rsid w:val="00A87783"/>
    <w:rsid w:val="00A87D00"/>
    <w:rsid w:val="00A90971"/>
    <w:rsid w:val="00A90E57"/>
    <w:rsid w:val="00A91674"/>
    <w:rsid w:val="00A91786"/>
    <w:rsid w:val="00A91FE6"/>
    <w:rsid w:val="00A92227"/>
    <w:rsid w:val="00A92D3A"/>
    <w:rsid w:val="00A93418"/>
    <w:rsid w:val="00A9345C"/>
    <w:rsid w:val="00A95439"/>
    <w:rsid w:val="00A95D38"/>
    <w:rsid w:val="00A967FF"/>
    <w:rsid w:val="00A9761D"/>
    <w:rsid w:val="00A97F45"/>
    <w:rsid w:val="00AA18D7"/>
    <w:rsid w:val="00AA212E"/>
    <w:rsid w:val="00AA2AA6"/>
    <w:rsid w:val="00AA2AC2"/>
    <w:rsid w:val="00AA36EE"/>
    <w:rsid w:val="00AA40CA"/>
    <w:rsid w:val="00AA4825"/>
    <w:rsid w:val="00AA4A59"/>
    <w:rsid w:val="00AA5343"/>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5F1A"/>
    <w:rsid w:val="00AB67C7"/>
    <w:rsid w:val="00AB6F51"/>
    <w:rsid w:val="00AB701F"/>
    <w:rsid w:val="00AB7414"/>
    <w:rsid w:val="00AB7702"/>
    <w:rsid w:val="00AB7D49"/>
    <w:rsid w:val="00AC03FB"/>
    <w:rsid w:val="00AC0565"/>
    <w:rsid w:val="00AC0AEB"/>
    <w:rsid w:val="00AC0DAF"/>
    <w:rsid w:val="00AC12D5"/>
    <w:rsid w:val="00AC26F8"/>
    <w:rsid w:val="00AC293E"/>
    <w:rsid w:val="00AC2B55"/>
    <w:rsid w:val="00AC2F5D"/>
    <w:rsid w:val="00AC3419"/>
    <w:rsid w:val="00AC436D"/>
    <w:rsid w:val="00AC457C"/>
    <w:rsid w:val="00AC5265"/>
    <w:rsid w:val="00AC6102"/>
    <w:rsid w:val="00AC644A"/>
    <w:rsid w:val="00AC6AB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C8A"/>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62E"/>
    <w:rsid w:val="00AF6E31"/>
    <w:rsid w:val="00AF72FE"/>
    <w:rsid w:val="00B002EA"/>
    <w:rsid w:val="00B009D8"/>
    <w:rsid w:val="00B00B08"/>
    <w:rsid w:val="00B00D24"/>
    <w:rsid w:val="00B00F84"/>
    <w:rsid w:val="00B01B12"/>
    <w:rsid w:val="00B01DB9"/>
    <w:rsid w:val="00B02310"/>
    <w:rsid w:val="00B03B27"/>
    <w:rsid w:val="00B042E5"/>
    <w:rsid w:val="00B04F39"/>
    <w:rsid w:val="00B05187"/>
    <w:rsid w:val="00B05460"/>
    <w:rsid w:val="00B06131"/>
    <w:rsid w:val="00B06C12"/>
    <w:rsid w:val="00B102D1"/>
    <w:rsid w:val="00B10336"/>
    <w:rsid w:val="00B1051F"/>
    <w:rsid w:val="00B11545"/>
    <w:rsid w:val="00B11C4C"/>
    <w:rsid w:val="00B131BA"/>
    <w:rsid w:val="00B13B51"/>
    <w:rsid w:val="00B157FF"/>
    <w:rsid w:val="00B15FE8"/>
    <w:rsid w:val="00B175B6"/>
    <w:rsid w:val="00B202F4"/>
    <w:rsid w:val="00B20B97"/>
    <w:rsid w:val="00B21AD8"/>
    <w:rsid w:val="00B2478D"/>
    <w:rsid w:val="00B250D5"/>
    <w:rsid w:val="00B2613E"/>
    <w:rsid w:val="00B26CFB"/>
    <w:rsid w:val="00B27348"/>
    <w:rsid w:val="00B2766C"/>
    <w:rsid w:val="00B30130"/>
    <w:rsid w:val="00B30CDE"/>
    <w:rsid w:val="00B31354"/>
    <w:rsid w:val="00B32D49"/>
    <w:rsid w:val="00B34FF3"/>
    <w:rsid w:val="00B367E9"/>
    <w:rsid w:val="00B370EB"/>
    <w:rsid w:val="00B37E4D"/>
    <w:rsid w:val="00B40385"/>
    <w:rsid w:val="00B42CE6"/>
    <w:rsid w:val="00B442F3"/>
    <w:rsid w:val="00B4464E"/>
    <w:rsid w:val="00B44CFE"/>
    <w:rsid w:val="00B45261"/>
    <w:rsid w:val="00B45514"/>
    <w:rsid w:val="00B45AD5"/>
    <w:rsid w:val="00B46189"/>
    <w:rsid w:val="00B464D7"/>
    <w:rsid w:val="00B47BF7"/>
    <w:rsid w:val="00B47D66"/>
    <w:rsid w:val="00B50072"/>
    <w:rsid w:val="00B52135"/>
    <w:rsid w:val="00B52E2A"/>
    <w:rsid w:val="00B52E52"/>
    <w:rsid w:val="00B53AD1"/>
    <w:rsid w:val="00B53F51"/>
    <w:rsid w:val="00B54264"/>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66C65"/>
    <w:rsid w:val="00B701C2"/>
    <w:rsid w:val="00B70301"/>
    <w:rsid w:val="00B7091B"/>
    <w:rsid w:val="00B71D9F"/>
    <w:rsid w:val="00B726E9"/>
    <w:rsid w:val="00B729C3"/>
    <w:rsid w:val="00B7349E"/>
    <w:rsid w:val="00B737FA"/>
    <w:rsid w:val="00B73D08"/>
    <w:rsid w:val="00B742FD"/>
    <w:rsid w:val="00B744F2"/>
    <w:rsid w:val="00B74D95"/>
    <w:rsid w:val="00B77417"/>
    <w:rsid w:val="00B822BC"/>
    <w:rsid w:val="00B8261F"/>
    <w:rsid w:val="00B843DF"/>
    <w:rsid w:val="00B862CA"/>
    <w:rsid w:val="00B90BC5"/>
    <w:rsid w:val="00B9192C"/>
    <w:rsid w:val="00B92443"/>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F7E"/>
    <w:rsid w:val="00BC02B0"/>
    <w:rsid w:val="00BC064F"/>
    <w:rsid w:val="00BC068F"/>
    <w:rsid w:val="00BC1852"/>
    <w:rsid w:val="00BC263B"/>
    <w:rsid w:val="00BC3346"/>
    <w:rsid w:val="00BC51E7"/>
    <w:rsid w:val="00BC53D8"/>
    <w:rsid w:val="00BC5C79"/>
    <w:rsid w:val="00BC65FC"/>
    <w:rsid w:val="00BC740F"/>
    <w:rsid w:val="00BD0353"/>
    <w:rsid w:val="00BD0BDA"/>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3448"/>
    <w:rsid w:val="00BE4B38"/>
    <w:rsid w:val="00BE4D1B"/>
    <w:rsid w:val="00BE590C"/>
    <w:rsid w:val="00BE5E30"/>
    <w:rsid w:val="00BF069E"/>
    <w:rsid w:val="00BF1ABD"/>
    <w:rsid w:val="00BF30EF"/>
    <w:rsid w:val="00BF519A"/>
    <w:rsid w:val="00BF64EB"/>
    <w:rsid w:val="00BF7079"/>
    <w:rsid w:val="00BF7156"/>
    <w:rsid w:val="00BF717D"/>
    <w:rsid w:val="00BF7272"/>
    <w:rsid w:val="00BF7B0C"/>
    <w:rsid w:val="00BF7D26"/>
    <w:rsid w:val="00C0002E"/>
    <w:rsid w:val="00C01B9E"/>
    <w:rsid w:val="00C01EB1"/>
    <w:rsid w:val="00C0275B"/>
    <w:rsid w:val="00C02D53"/>
    <w:rsid w:val="00C0320B"/>
    <w:rsid w:val="00C03662"/>
    <w:rsid w:val="00C0484F"/>
    <w:rsid w:val="00C04B2C"/>
    <w:rsid w:val="00C04BF5"/>
    <w:rsid w:val="00C04DC6"/>
    <w:rsid w:val="00C05DF4"/>
    <w:rsid w:val="00C05EC1"/>
    <w:rsid w:val="00C06A6D"/>
    <w:rsid w:val="00C06C4D"/>
    <w:rsid w:val="00C06D25"/>
    <w:rsid w:val="00C0759E"/>
    <w:rsid w:val="00C07AB8"/>
    <w:rsid w:val="00C07C08"/>
    <w:rsid w:val="00C07F25"/>
    <w:rsid w:val="00C10618"/>
    <w:rsid w:val="00C126DD"/>
    <w:rsid w:val="00C138A0"/>
    <w:rsid w:val="00C13999"/>
    <w:rsid w:val="00C145B6"/>
    <w:rsid w:val="00C172AC"/>
    <w:rsid w:val="00C20C37"/>
    <w:rsid w:val="00C20CA4"/>
    <w:rsid w:val="00C20DA7"/>
    <w:rsid w:val="00C2154F"/>
    <w:rsid w:val="00C218D7"/>
    <w:rsid w:val="00C22D67"/>
    <w:rsid w:val="00C23E4D"/>
    <w:rsid w:val="00C2424D"/>
    <w:rsid w:val="00C24CB2"/>
    <w:rsid w:val="00C24E69"/>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6E6B"/>
    <w:rsid w:val="00C37846"/>
    <w:rsid w:val="00C37B4A"/>
    <w:rsid w:val="00C40CC6"/>
    <w:rsid w:val="00C40F49"/>
    <w:rsid w:val="00C41466"/>
    <w:rsid w:val="00C437F8"/>
    <w:rsid w:val="00C43836"/>
    <w:rsid w:val="00C4384B"/>
    <w:rsid w:val="00C448E8"/>
    <w:rsid w:val="00C45330"/>
    <w:rsid w:val="00C46AA2"/>
    <w:rsid w:val="00C46DE8"/>
    <w:rsid w:val="00C472E8"/>
    <w:rsid w:val="00C479AB"/>
    <w:rsid w:val="00C51B6E"/>
    <w:rsid w:val="00C53369"/>
    <w:rsid w:val="00C533D1"/>
    <w:rsid w:val="00C5420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3A0D"/>
    <w:rsid w:val="00C64B7B"/>
    <w:rsid w:val="00C64E63"/>
    <w:rsid w:val="00C655CF"/>
    <w:rsid w:val="00C669E7"/>
    <w:rsid w:val="00C67066"/>
    <w:rsid w:val="00C73834"/>
    <w:rsid w:val="00C7413F"/>
    <w:rsid w:val="00C7458B"/>
    <w:rsid w:val="00C74C29"/>
    <w:rsid w:val="00C75815"/>
    <w:rsid w:val="00C7694B"/>
    <w:rsid w:val="00C77134"/>
    <w:rsid w:val="00C77EA7"/>
    <w:rsid w:val="00C800BD"/>
    <w:rsid w:val="00C80300"/>
    <w:rsid w:val="00C80406"/>
    <w:rsid w:val="00C81C81"/>
    <w:rsid w:val="00C81E71"/>
    <w:rsid w:val="00C827E0"/>
    <w:rsid w:val="00C840DF"/>
    <w:rsid w:val="00C85031"/>
    <w:rsid w:val="00C8554D"/>
    <w:rsid w:val="00C85608"/>
    <w:rsid w:val="00C86F33"/>
    <w:rsid w:val="00C875DA"/>
    <w:rsid w:val="00C9156C"/>
    <w:rsid w:val="00C91D2F"/>
    <w:rsid w:val="00C930B7"/>
    <w:rsid w:val="00C94716"/>
    <w:rsid w:val="00C953B2"/>
    <w:rsid w:val="00C965E1"/>
    <w:rsid w:val="00C96A72"/>
    <w:rsid w:val="00C9729B"/>
    <w:rsid w:val="00C97CA7"/>
    <w:rsid w:val="00CA0932"/>
    <w:rsid w:val="00CA1C76"/>
    <w:rsid w:val="00CA2090"/>
    <w:rsid w:val="00CA280A"/>
    <w:rsid w:val="00CA2857"/>
    <w:rsid w:val="00CA291B"/>
    <w:rsid w:val="00CA315B"/>
    <w:rsid w:val="00CA3387"/>
    <w:rsid w:val="00CA3FB1"/>
    <w:rsid w:val="00CA43CA"/>
    <w:rsid w:val="00CA6BEC"/>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27F"/>
    <w:rsid w:val="00CC438E"/>
    <w:rsid w:val="00CC51F7"/>
    <w:rsid w:val="00CC5B6C"/>
    <w:rsid w:val="00CC5C27"/>
    <w:rsid w:val="00CC60C0"/>
    <w:rsid w:val="00CC67E0"/>
    <w:rsid w:val="00CC6E32"/>
    <w:rsid w:val="00CC6FCF"/>
    <w:rsid w:val="00CC7923"/>
    <w:rsid w:val="00CC7A01"/>
    <w:rsid w:val="00CD0148"/>
    <w:rsid w:val="00CD255A"/>
    <w:rsid w:val="00CD2FF4"/>
    <w:rsid w:val="00CD42A9"/>
    <w:rsid w:val="00CD450D"/>
    <w:rsid w:val="00CD51AF"/>
    <w:rsid w:val="00CD67B3"/>
    <w:rsid w:val="00CE0613"/>
    <w:rsid w:val="00CE0F45"/>
    <w:rsid w:val="00CE10CC"/>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4C8C"/>
    <w:rsid w:val="00CF6880"/>
    <w:rsid w:val="00D03017"/>
    <w:rsid w:val="00D0314D"/>
    <w:rsid w:val="00D036AE"/>
    <w:rsid w:val="00D03AD7"/>
    <w:rsid w:val="00D043A7"/>
    <w:rsid w:val="00D057B5"/>
    <w:rsid w:val="00D05F4C"/>
    <w:rsid w:val="00D062EA"/>
    <w:rsid w:val="00D06351"/>
    <w:rsid w:val="00D06CD7"/>
    <w:rsid w:val="00D07402"/>
    <w:rsid w:val="00D07D31"/>
    <w:rsid w:val="00D1080F"/>
    <w:rsid w:val="00D121A1"/>
    <w:rsid w:val="00D126F0"/>
    <w:rsid w:val="00D12DDC"/>
    <w:rsid w:val="00D13BE3"/>
    <w:rsid w:val="00D1485E"/>
    <w:rsid w:val="00D15489"/>
    <w:rsid w:val="00D15C2B"/>
    <w:rsid w:val="00D15D57"/>
    <w:rsid w:val="00D1713B"/>
    <w:rsid w:val="00D17AE2"/>
    <w:rsid w:val="00D2042B"/>
    <w:rsid w:val="00D20583"/>
    <w:rsid w:val="00D205FF"/>
    <w:rsid w:val="00D21887"/>
    <w:rsid w:val="00D21A2C"/>
    <w:rsid w:val="00D2215A"/>
    <w:rsid w:val="00D2279D"/>
    <w:rsid w:val="00D22B40"/>
    <w:rsid w:val="00D22BA9"/>
    <w:rsid w:val="00D235D6"/>
    <w:rsid w:val="00D23618"/>
    <w:rsid w:val="00D24638"/>
    <w:rsid w:val="00D253B3"/>
    <w:rsid w:val="00D26335"/>
    <w:rsid w:val="00D26468"/>
    <w:rsid w:val="00D26BB5"/>
    <w:rsid w:val="00D27F03"/>
    <w:rsid w:val="00D30C32"/>
    <w:rsid w:val="00D31CA4"/>
    <w:rsid w:val="00D32097"/>
    <w:rsid w:val="00D32A32"/>
    <w:rsid w:val="00D32C62"/>
    <w:rsid w:val="00D32CB4"/>
    <w:rsid w:val="00D32D71"/>
    <w:rsid w:val="00D33104"/>
    <w:rsid w:val="00D3410D"/>
    <w:rsid w:val="00D34790"/>
    <w:rsid w:val="00D35714"/>
    <w:rsid w:val="00D35E98"/>
    <w:rsid w:val="00D3620C"/>
    <w:rsid w:val="00D3729B"/>
    <w:rsid w:val="00D37BF2"/>
    <w:rsid w:val="00D407D8"/>
    <w:rsid w:val="00D40B0B"/>
    <w:rsid w:val="00D40BFD"/>
    <w:rsid w:val="00D412C7"/>
    <w:rsid w:val="00D4247E"/>
    <w:rsid w:val="00D435BE"/>
    <w:rsid w:val="00D43717"/>
    <w:rsid w:val="00D447D7"/>
    <w:rsid w:val="00D452EC"/>
    <w:rsid w:val="00D45D45"/>
    <w:rsid w:val="00D463C8"/>
    <w:rsid w:val="00D4699A"/>
    <w:rsid w:val="00D46BFE"/>
    <w:rsid w:val="00D46F97"/>
    <w:rsid w:val="00D4768F"/>
    <w:rsid w:val="00D47F05"/>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60A8B"/>
    <w:rsid w:val="00D616E2"/>
    <w:rsid w:val="00D61A14"/>
    <w:rsid w:val="00D624A2"/>
    <w:rsid w:val="00D6288F"/>
    <w:rsid w:val="00D63292"/>
    <w:rsid w:val="00D63767"/>
    <w:rsid w:val="00D63E33"/>
    <w:rsid w:val="00D63F57"/>
    <w:rsid w:val="00D64441"/>
    <w:rsid w:val="00D66235"/>
    <w:rsid w:val="00D70638"/>
    <w:rsid w:val="00D712D9"/>
    <w:rsid w:val="00D71380"/>
    <w:rsid w:val="00D735F8"/>
    <w:rsid w:val="00D74CA1"/>
    <w:rsid w:val="00D74E12"/>
    <w:rsid w:val="00D7526B"/>
    <w:rsid w:val="00D768C6"/>
    <w:rsid w:val="00D777A7"/>
    <w:rsid w:val="00D81EEB"/>
    <w:rsid w:val="00D82E2D"/>
    <w:rsid w:val="00D84B91"/>
    <w:rsid w:val="00D85BD7"/>
    <w:rsid w:val="00D86AC1"/>
    <w:rsid w:val="00D86B1D"/>
    <w:rsid w:val="00D86B28"/>
    <w:rsid w:val="00D871F7"/>
    <w:rsid w:val="00D87F0D"/>
    <w:rsid w:val="00D903D1"/>
    <w:rsid w:val="00D92185"/>
    <w:rsid w:val="00D92685"/>
    <w:rsid w:val="00D936ED"/>
    <w:rsid w:val="00D93B6C"/>
    <w:rsid w:val="00D943D2"/>
    <w:rsid w:val="00D955FB"/>
    <w:rsid w:val="00D95D58"/>
    <w:rsid w:val="00D97316"/>
    <w:rsid w:val="00D973DF"/>
    <w:rsid w:val="00D97D81"/>
    <w:rsid w:val="00DA1727"/>
    <w:rsid w:val="00DA42FF"/>
    <w:rsid w:val="00DA4444"/>
    <w:rsid w:val="00DA4873"/>
    <w:rsid w:val="00DA4FF3"/>
    <w:rsid w:val="00DA5642"/>
    <w:rsid w:val="00DA5647"/>
    <w:rsid w:val="00DA5F7B"/>
    <w:rsid w:val="00DA6EB5"/>
    <w:rsid w:val="00DA6EC7"/>
    <w:rsid w:val="00DA7DF1"/>
    <w:rsid w:val="00DB05DD"/>
    <w:rsid w:val="00DB13B8"/>
    <w:rsid w:val="00DB2423"/>
    <w:rsid w:val="00DB2A44"/>
    <w:rsid w:val="00DB3463"/>
    <w:rsid w:val="00DB3C5A"/>
    <w:rsid w:val="00DB4026"/>
    <w:rsid w:val="00DB4F7D"/>
    <w:rsid w:val="00DB5BC6"/>
    <w:rsid w:val="00DB66D3"/>
    <w:rsid w:val="00DB6C6A"/>
    <w:rsid w:val="00DC1553"/>
    <w:rsid w:val="00DC1F28"/>
    <w:rsid w:val="00DC35E4"/>
    <w:rsid w:val="00DC36B8"/>
    <w:rsid w:val="00DC3DC4"/>
    <w:rsid w:val="00DC48EE"/>
    <w:rsid w:val="00DC4C79"/>
    <w:rsid w:val="00DC550C"/>
    <w:rsid w:val="00DC71AE"/>
    <w:rsid w:val="00DD028A"/>
    <w:rsid w:val="00DD1334"/>
    <w:rsid w:val="00DD13B7"/>
    <w:rsid w:val="00DD1F44"/>
    <w:rsid w:val="00DD3313"/>
    <w:rsid w:val="00DD3678"/>
    <w:rsid w:val="00DD4264"/>
    <w:rsid w:val="00DD43B0"/>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4F9E"/>
    <w:rsid w:val="00DE5650"/>
    <w:rsid w:val="00DE5DB6"/>
    <w:rsid w:val="00DE607F"/>
    <w:rsid w:val="00DE6127"/>
    <w:rsid w:val="00DE6DA6"/>
    <w:rsid w:val="00DE6DC6"/>
    <w:rsid w:val="00DE7B3B"/>
    <w:rsid w:val="00DE7EBE"/>
    <w:rsid w:val="00DF0630"/>
    <w:rsid w:val="00DF067F"/>
    <w:rsid w:val="00DF0C5E"/>
    <w:rsid w:val="00DF0CE4"/>
    <w:rsid w:val="00DF116C"/>
    <w:rsid w:val="00DF2ACA"/>
    <w:rsid w:val="00DF2F2F"/>
    <w:rsid w:val="00DF6A5B"/>
    <w:rsid w:val="00DF7987"/>
    <w:rsid w:val="00E00003"/>
    <w:rsid w:val="00E005F2"/>
    <w:rsid w:val="00E0091B"/>
    <w:rsid w:val="00E03267"/>
    <w:rsid w:val="00E041C7"/>
    <w:rsid w:val="00E043CB"/>
    <w:rsid w:val="00E045D3"/>
    <w:rsid w:val="00E05C5A"/>
    <w:rsid w:val="00E07001"/>
    <w:rsid w:val="00E07B38"/>
    <w:rsid w:val="00E1053D"/>
    <w:rsid w:val="00E10AE8"/>
    <w:rsid w:val="00E11F34"/>
    <w:rsid w:val="00E1295E"/>
    <w:rsid w:val="00E1349E"/>
    <w:rsid w:val="00E14386"/>
    <w:rsid w:val="00E1451D"/>
    <w:rsid w:val="00E1472B"/>
    <w:rsid w:val="00E1570D"/>
    <w:rsid w:val="00E160F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947"/>
    <w:rsid w:val="00E36801"/>
    <w:rsid w:val="00E36CB2"/>
    <w:rsid w:val="00E37D66"/>
    <w:rsid w:val="00E37D82"/>
    <w:rsid w:val="00E40F04"/>
    <w:rsid w:val="00E4114E"/>
    <w:rsid w:val="00E41942"/>
    <w:rsid w:val="00E44F67"/>
    <w:rsid w:val="00E46351"/>
    <w:rsid w:val="00E46AF8"/>
    <w:rsid w:val="00E47B95"/>
    <w:rsid w:val="00E50A1A"/>
    <w:rsid w:val="00E50B89"/>
    <w:rsid w:val="00E513DF"/>
    <w:rsid w:val="00E51C32"/>
    <w:rsid w:val="00E5275C"/>
    <w:rsid w:val="00E53990"/>
    <w:rsid w:val="00E54DE3"/>
    <w:rsid w:val="00E558C9"/>
    <w:rsid w:val="00E55D1D"/>
    <w:rsid w:val="00E564BC"/>
    <w:rsid w:val="00E56FB4"/>
    <w:rsid w:val="00E577ED"/>
    <w:rsid w:val="00E6012A"/>
    <w:rsid w:val="00E62B07"/>
    <w:rsid w:val="00E63B32"/>
    <w:rsid w:val="00E64E02"/>
    <w:rsid w:val="00E651FC"/>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92B"/>
    <w:rsid w:val="00E8315F"/>
    <w:rsid w:val="00E84537"/>
    <w:rsid w:val="00E84F06"/>
    <w:rsid w:val="00E852A2"/>
    <w:rsid w:val="00E86994"/>
    <w:rsid w:val="00E87830"/>
    <w:rsid w:val="00E87F92"/>
    <w:rsid w:val="00E90584"/>
    <w:rsid w:val="00E91158"/>
    <w:rsid w:val="00E91549"/>
    <w:rsid w:val="00E91B11"/>
    <w:rsid w:val="00E9271A"/>
    <w:rsid w:val="00E936AF"/>
    <w:rsid w:val="00E954ED"/>
    <w:rsid w:val="00E95697"/>
    <w:rsid w:val="00E95D22"/>
    <w:rsid w:val="00E96CEC"/>
    <w:rsid w:val="00EA10F9"/>
    <w:rsid w:val="00EA2158"/>
    <w:rsid w:val="00EA242B"/>
    <w:rsid w:val="00EA2B3C"/>
    <w:rsid w:val="00EA2F7D"/>
    <w:rsid w:val="00EA3C8E"/>
    <w:rsid w:val="00EA5442"/>
    <w:rsid w:val="00EB055C"/>
    <w:rsid w:val="00EB0DA4"/>
    <w:rsid w:val="00EB1FFF"/>
    <w:rsid w:val="00EB2E83"/>
    <w:rsid w:val="00EB34D6"/>
    <w:rsid w:val="00EB3575"/>
    <w:rsid w:val="00EB3CBD"/>
    <w:rsid w:val="00EB4152"/>
    <w:rsid w:val="00EB4550"/>
    <w:rsid w:val="00EB63D8"/>
    <w:rsid w:val="00EB6504"/>
    <w:rsid w:val="00EB683A"/>
    <w:rsid w:val="00EB78EC"/>
    <w:rsid w:val="00EC0B87"/>
    <w:rsid w:val="00EC3077"/>
    <w:rsid w:val="00EC36EF"/>
    <w:rsid w:val="00EC3EDA"/>
    <w:rsid w:val="00EC4910"/>
    <w:rsid w:val="00EC5166"/>
    <w:rsid w:val="00EC5518"/>
    <w:rsid w:val="00EC6095"/>
    <w:rsid w:val="00EC6238"/>
    <w:rsid w:val="00EC70AF"/>
    <w:rsid w:val="00EC71DC"/>
    <w:rsid w:val="00EC7491"/>
    <w:rsid w:val="00EC76DA"/>
    <w:rsid w:val="00ED1D8C"/>
    <w:rsid w:val="00ED2025"/>
    <w:rsid w:val="00ED31FF"/>
    <w:rsid w:val="00ED38E4"/>
    <w:rsid w:val="00ED4D27"/>
    <w:rsid w:val="00ED5347"/>
    <w:rsid w:val="00ED6687"/>
    <w:rsid w:val="00ED715D"/>
    <w:rsid w:val="00ED78A6"/>
    <w:rsid w:val="00EE0333"/>
    <w:rsid w:val="00EE126B"/>
    <w:rsid w:val="00EE3363"/>
    <w:rsid w:val="00EE36BF"/>
    <w:rsid w:val="00EE497F"/>
    <w:rsid w:val="00EE53EA"/>
    <w:rsid w:val="00EE551A"/>
    <w:rsid w:val="00EE5674"/>
    <w:rsid w:val="00EE602A"/>
    <w:rsid w:val="00EE6A31"/>
    <w:rsid w:val="00EE7973"/>
    <w:rsid w:val="00EF0AF6"/>
    <w:rsid w:val="00EF10C9"/>
    <w:rsid w:val="00EF15D8"/>
    <w:rsid w:val="00EF191B"/>
    <w:rsid w:val="00EF2136"/>
    <w:rsid w:val="00EF3564"/>
    <w:rsid w:val="00EF3A73"/>
    <w:rsid w:val="00EF3F7D"/>
    <w:rsid w:val="00EF4F00"/>
    <w:rsid w:val="00EF66DD"/>
    <w:rsid w:val="00EF7571"/>
    <w:rsid w:val="00EF7BDC"/>
    <w:rsid w:val="00EF7D2D"/>
    <w:rsid w:val="00F0039F"/>
    <w:rsid w:val="00F008FA"/>
    <w:rsid w:val="00F02DCD"/>
    <w:rsid w:val="00F03B07"/>
    <w:rsid w:val="00F04410"/>
    <w:rsid w:val="00F0460D"/>
    <w:rsid w:val="00F0507B"/>
    <w:rsid w:val="00F06A51"/>
    <w:rsid w:val="00F079DF"/>
    <w:rsid w:val="00F117AC"/>
    <w:rsid w:val="00F120D3"/>
    <w:rsid w:val="00F124D1"/>
    <w:rsid w:val="00F126D6"/>
    <w:rsid w:val="00F12E77"/>
    <w:rsid w:val="00F13A97"/>
    <w:rsid w:val="00F13CAA"/>
    <w:rsid w:val="00F13CDD"/>
    <w:rsid w:val="00F14ADA"/>
    <w:rsid w:val="00F151A0"/>
    <w:rsid w:val="00F1559A"/>
    <w:rsid w:val="00F168FE"/>
    <w:rsid w:val="00F208E1"/>
    <w:rsid w:val="00F214DB"/>
    <w:rsid w:val="00F22F38"/>
    <w:rsid w:val="00F23123"/>
    <w:rsid w:val="00F2498D"/>
    <w:rsid w:val="00F24C14"/>
    <w:rsid w:val="00F2538D"/>
    <w:rsid w:val="00F259D8"/>
    <w:rsid w:val="00F25FD2"/>
    <w:rsid w:val="00F26244"/>
    <w:rsid w:val="00F263DF"/>
    <w:rsid w:val="00F27554"/>
    <w:rsid w:val="00F277AA"/>
    <w:rsid w:val="00F27A8E"/>
    <w:rsid w:val="00F27DF8"/>
    <w:rsid w:val="00F30D17"/>
    <w:rsid w:val="00F31368"/>
    <w:rsid w:val="00F3142F"/>
    <w:rsid w:val="00F31962"/>
    <w:rsid w:val="00F31FDD"/>
    <w:rsid w:val="00F3214E"/>
    <w:rsid w:val="00F32EF1"/>
    <w:rsid w:val="00F33BD6"/>
    <w:rsid w:val="00F342CC"/>
    <w:rsid w:val="00F34E96"/>
    <w:rsid w:val="00F3510A"/>
    <w:rsid w:val="00F35167"/>
    <w:rsid w:val="00F35FB1"/>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2E57"/>
    <w:rsid w:val="00F54449"/>
    <w:rsid w:val="00F5465C"/>
    <w:rsid w:val="00F54C7F"/>
    <w:rsid w:val="00F558B4"/>
    <w:rsid w:val="00F55A37"/>
    <w:rsid w:val="00F56919"/>
    <w:rsid w:val="00F56CA6"/>
    <w:rsid w:val="00F56D88"/>
    <w:rsid w:val="00F5714E"/>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9C"/>
    <w:rsid w:val="00F70D6A"/>
    <w:rsid w:val="00F7129E"/>
    <w:rsid w:val="00F72335"/>
    <w:rsid w:val="00F7234D"/>
    <w:rsid w:val="00F72449"/>
    <w:rsid w:val="00F72664"/>
    <w:rsid w:val="00F726B8"/>
    <w:rsid w:val="00F72A02"/>
    <w:rsid w:val="00F731F0"/>
    <w:rsid w:val="00F77386"/>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50E"/>
    <w:rsid w:val="00FA08C1"/>
    <w:rsid w:val="00FA1742"/>
    <w:rsid w:val="00FA239A"/>
    <w:rsid w:val="00FA25EF"/>
    <w:rsid w:val="00FA27C0"/>
    <w:rsid w:val="00FA2FD1"/>
    <w:rsid w:val="00FA32D6"/>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6E9"/>
    <w:rsid w:val="00FB2FF3"/>
    <w:rsid w:val="00FB3892"/>
    <w:rsid w:val="00FB3C1D"/>
    <w:rsid w:val="00FB4039"/>
    <w:rsid w:val="00FB4291"/>
    <w:rsid w:val="00FB43CA"/>
    <w:rsid w:val="00FB4C7C"/>
    <w:rsid w:val="00FB7333"/>
    <w:rsid w:val="00FB77DF"/>
    <w:rsid w:val="00FC118E"/>
    <w:rsid w:val="00FC1207"/>
    <w:rsid w:val="00FC200D"/>
    <w:rsid w:val="00FC22DB"/>
    <w:rsid w:val="00FC2706"/>
    <w:rsid w:val="00FC3895"/>
    <w:rsid w:val="00FC42B0"/>
    <w:rsid w:val="00FC4BB5"/>
    <w:rsid w:val="00FC700E"/>
    <w:rsid w:val="00FC7864"/>
    <w:rsid w:val="00FC7F47"/>
    <w:rsid w:val="00FD04E6"/>
    <w:rsid w:val="00FD06BC"/>
    <w:rsid w:val="00FD0EA0"/>
    <w:rsid w:val="00FD21BC"/>
    <w:rsid w:val="00FD304B"/>
    <w:rsid w:val="00FD5085"/>
    <w:rsid w:val="00FD5650"/>
    <w:rsid w:val="00FD5D1B"/>
    <w:rsid w:val="00FD5D55"/>
    <w:rsid w:val="00FD5F29"/>
    <w:rsid w:val="00FD61E1"/>
    <w:rsid w:val="00FD632E"/>
    <w:rsid w:val="00FD7F73"/>
    <w:rsid w:val="00FD7F83"/>
    <w:rsid w:val="00FE013D"/>
    <w:rsid w:val="00FE23B8"/>
    <w:rsid w:val="00FE2552"/>
    <w:rsid w:val="00FE3F6C"/>
    <w:rsid w:val="00FE481C"/>
    <w:rsid w:val="00FE4EA6"/>
    <w:rsid w:val="00FE5C63"/>
    <w:rsid w:val="00FE6202"/>
    <w:rsid w:val="00FE6898"/>
    <w:rsid w:val="00FF038E"/>
    <w:rsid w:val="00FF164C"/>
    <w:rsid w:val="00FF223B"/>
    <w:rsid w:val="00FF2811"/>
    <w:rsid w:val="00FF3A05"/>
    <w:rsid w:val="00FF3B3C"/>
    <w:rsid w:val="00FF4C4F"/>
    <w:rsid w:val="00FF77D9"/>
    <w:rsid w:val="00FF7E44"/>
    <w:rsid w:val="04C21C91"/>
    <w:rsid w:val="0AF406EE"/>
    <w:rsid w:val="0C222911"/>
    <w:rsid w:val="0DEC79B5"/>
    <w:rsid w:val="1484504D"/>
    <w:rsid w:val="15517359"/>
    <w:rsid w:val="23DA1B19"/>
    <w:rsid w:val="29FC2DDE"/>
    <w:rsid w:val="2BC41AB6"/>
    <w:rsid w:val="309E38C9"/>
    <w:rsid w:val="38FD2A08"/>
    <w:rsid w:val="3E3C5FB3"/>
    <w:rsid w:val="42E32487"/>
    <w:rsid w:val="44CE4BBC"/>
    <w:rsid w:val="472A7E6E"/>
    <w:rsid w:val="47831A38"/>
    <w:rsid w:val="48354777"/>
    <w:rsid w:val="49B407A2"/>
    <w:rsid w:val="49BB0809"/>
    <w:rsid w:val="4C116EC3"/>
    <w:rsid w:val="4D095D5E"/>
    <w:rsid w:val="4FE90727"/>
    <w:rsid w:val="511332C1"/>
    <w:rsid w:val="53980497"/>
    <w:rsid w:val="57D37A95"/>
    <w:rsid w:val="599F23FD"/>
    <w:rsid w:val="5D445939"/>
    <w:rsid w:val="5FD63B25"/>
    <w:rsid w:val="60415BE0"/>
    <w:rsid w:val="617D64F6"/>
    <w:rsid w:val="65FC1CA9"/>
    <w:rsid w:val="66BB25D8"/>
    <w:rsid w:val="736F3D1C"/>
    <w:rsid w:val="770D75CB"/>
    <w:rsid w:val="7DF7090E"/>
    <w:rsid w:val="7EA220F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rial" w:hAnsi="Arial" w:eastAsia="Malgun Gothic" w:cs="Times New Roman"/>
      <w:szCs w:val="22"/>
      <w:lang w:val="en-US" w:eastAsia="en-US" w:bidi="ar-SA"/>
    </w:rPr>
  </w:style>
  <w:style w:type="paragraph" w:styleId="2">
    <w:name w:val="heading 1"/>
    <w:next w:val="1"/>
    <w:link w:val="3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28"/>
      <w:szCs w:val="36"/>
      <w:lang w:val="en-GB" w:eastAsia="zh-CN" w:bidi="ar-SA"/>
    </w:rPr>
  </w:style>
  <w:style w:type="paragraph" w:styleId="3">
    <w:name w:val="heading 2"/>
    <w:basedOn w:val="2"/>
    <w:next w:val="1"/>
    <w:link w:val="40"/>
    <w:qFormat/>
    <w:uiPriority w:val="0"/>
    <w:pPr>
      <w:numPr>
        <w:ilvl w:val="1"/>
      </w:numPr>
      <w:pBdr>
        <w:top w:val="none" w:color="auto" w:sz="0" w:space="0"/>
      </w:pBdr>
      <w:spacing w:before="180"/>
      <w:outlineLvl w:val="1"/>
    </w:pPr>
    <w:rPr>
      <w:sz w:val="24"/>
      <w:szCs w:val="32"/>
    </w:rPr>
  </w:style>
  <w:style w:type="paragraph" w:styleId="4">
    <w:name w:val="heading 3"/>
    <w:basedOn w:val="3"/>
    <w:next w:val="1"/>
    <w:link w:val="41"/>
    <w:qFormat/>
    <w:uiPriority w:val="0"/>
    <w:pPr>
      <w:numPr>
        <w:ilvl w:val="2"/>
      </w:numPr>
      <w:spacing w:before="120"/>
      <w:outlineLvl w:val="2"/>
    </w:pPr>
    <w:rPr>
      <w:sz w:val="22"/>
      <w:szCs w:val="28"/>
      <w:u w:val="single"/>
    </w:rPr>
  </w:style>
  <w:style w:type="paragraph" w:styleId="5">
    <w:name w:val="heading 4"/>
    <w:basedOn w:val="4"/>
    <w:next w:val="1"/>
    <w:link w:val="42"/>
    <w:qFormat/>
    <w:uiPriority w:val="0"/>
    <w:pPr>
      <w:numPr>
        <w:ilvl w:val="3"/>
      </w:numPr>
      <w:outlineLvl w:val="3"/>
    </w:pPr>
    <w:rPr>
      <w:sz w:val="24"/>
      <w:szCs w:val="24"/>
    </w:rPr>
  </w:style>
  <w:style w:type="paragraph" w:styleId="6">
    <w:name w:val="heading 5"/>
    <w:basedOn w:val="5"/>
    <w:next w:val="1"/>
    <w:link w:val="43"/>
    <w:qFormat/>
    <w:uiPriority w:val="0"/>
    <w:pPr>
      <w:numPr>
        <w:ilvl w:val="4"/>
      </w:numPr>
      <w:outlineLvl w:val="4"/>
    </w:pPr>
    <w:rPr>
      <w:sz w:val="22"/>
      <w:szCs w:val="22"/>
    </w:rPr>
  </w:style>
  <w:style w:type="paragraph" w:styleId="7">
    <w:name w:val="heading 6"/>
    <w:basedOn w:val="1"/>
    <w:next w:val="1"/>
    <w:link w:val="44"/>
    <w:qFormat/>
    <w:uiPriority w:val="0"/>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8">
    <w:name w:val="heading 7"/>
    <w:basedOn w:val="1"/>
    <w:next w:val="1"/>
    <w:link w:val="45"/>
    <w:qFormat/>
    <w:uiPriority w:val="0"/>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9">
    <w:name w:val="heading 8"/>
    <w:basedOn w:val="8"/>
    <w:next w:val="1"/>
    <w:link w:val="46"/>
    <w:qFormat/>
    <w:uiPriority w:val="0"/>
    <w:pPr>
      <w:numPr>
        <w:ilvl w:val="7"/>
      </w:numPr>
      <w:outlineLvl w:val="7"/>
    </w:pPr>
  </w:style>
  <w:style w:type="paragraph" w:styleId="10">
    <w:name w:val="heading 9"/>
    <w:basedOn w:val="9"/>
    <w:next w:val="1"/>
    <w:link w:val="47"/>
    <w:qFormat/>
    <w:uiPriority w:val="0"/>
    <w:pPr>
      <w:numPr>
        <w:ilvl w:val="8"/>
      </w:num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Document Map"/>
    <w:basedOn w:val="1"/>
    <w:link w:val="38"/>
    <w:semiHidden/>
    <w:unhideWhenUsed/>
    <w:qFormat/>
    <w:uiPriority w:val="99"/>
    <w:pPr>
      <w:spacing w:after="0" w:line="240" w:lineRule="auto"/>
    </w:pPr>
    <w:rPr>
      <w:rFonts w:ascii="Tahoma" w:hAnsi="Tahoma" w:cs="Tahoma"/>
      <w:sz w:val="16"/>
      <w:szCs w:val="16"/>
    </w:rPr>
  </w:style>
  <w:style w:type="paragraph" w:styleId="13">
    <w:name w:val="annotation text"/>
    <w:basedOn w:val="1"/>
    <w:link w:val="50"/>
    <w:unhideWhenUsed/>
    <w:qFormat/>
    <w:uiPriority w:val="99"/>
    <w:rPr>
      <w:szCs w:val="20"/>
    </w:rPr>
  </w:style>
  <w:style w:type="paragraph" w:styleId="14">
    <w:name w:val="Body Text"/>
    <w:basedOn w:val="1"/>
    <w:link w:val="73"/>
    <w:unhideWhenUsed/>
    <w:qFormat/>
    <w:uiPriority w:val="99"/>
    <w:pPr>
      <w:spacing w:after="120"/>
    </w:pPr>
  </w:style>
  <w:style w:type="paragraph" w:styleId="15">
    <w:name w:val="List 2"/>
    <w:basedOn w:val="1"/>
    <w:semiHidden/>
    <w:unhideWhenUsed/>
    <w:qFormat/>
    <w:uiPriority w:val="99"/>
    <w:pPr>
      <w:ind w:left="100" w:leftChars="200" w:hanging="200" w:hangingChars="200"/>
      <w:contextualSpacing/>
    </w:pPr>
  </w:style>
  <w:style w:type="paragraph" w:styleId="16">
    <w:name w:val="Balloon Text"/>
    <w:basedOn w:val="1"/>
    <w:link w:val="36"/>
    <w:semiHidden/>
    <w:unhideWhenUsed/>
    <w:qFormat/>
    <w:uiPriority w:val="99"/>
    <w:pPr>
      <w:spacing w:after="0" w:line="240" w:lineRule="auto"/>
    </w:pPr>
    <w:rPr>
      <w:rFonts w:ascii="Tahoma" w:hAnsi="Tahoma" w:cs="Tahoma"/>
      <w:sz w:val="16"/>
      <w:szCs w:val="16"/>
    </w:rPr>
  </w:style>
  <w:style w:type="paragraph" w:styleId="17">
    <w:name w:val="footer"/>
    <w:basedOn w:val="1"/>
    <w:qFormat/>
    <w:uiPriority w:val="0"/>
    <w:pPr>
      <w:tabs>
        <w:tab w:val="center" w:pos="4703"/>
        <w:tab w:val="right" w:pos="9406"/>
      </w:tabs>
    </w:pPr>
  </w:style>
  <w:style w:type="paragraph" w:styleId="18">
    <w:name w:val="header"/>
    <w:basedOn w:val="1"/>
    <w:qFormat/>
    <w:uiPriority w:val="0"/>
    <w:pPr>
      <w:tabs>
        <w:tab w:val="center" w:pos="4703"/>
        <w:tab w:val="right" w:pos="9406"/>
      </w:tabs>
    </w:pPr>
  </w:style>
  <w:style w:type="paragraph" w:styleId="19">
    <w:name w:val="toc 1"/>
    <w:basedOn w:val="1"/>
    <w:next w:val="1"/>
    <w:semiHidden/>
    <w:qFormat/>
    <w:uiPriority w:val="0"/>
  </w:style>
  <w:style w:type="paragraph" w:styleId="20">
    <w:name w:val="List"/>
    <w:basedOn w:val="1"/>
    <w:qFormat/>
    <w:uiPriority w:val="0"/>
    <w:pPr>
      <w:ind w:left="283" w:hanging="283"/>
    </w:pPr>
  </w:style>
  <w:style w:type="paragraph" w:styleId="21">
    <w:name w:val="footnote text"/>
    <w:basedOn w:val="1"/>
    <w:semiHidden/>
    <w:qFormat/>
    <w:uiPriority w:val="0"/>
    <w:rPr>
      <w:szCs w:val="20"/>
    </w:rPr>
  </w:style>
  <w:style w:type="paragraph" w:styleId="22">
    <w:name w:val="toc 2"/>
    <w:basedOn w:val="1"/>
    <w:next w:val="1"/>
    <w:semiHidden/>
    <w:qFormat/>
    <w:uiPriority w:val="0"/>
    <w:pPr>
      <w:ind w:left="200"/>
    </w:pPr>
  </w:style>
  <w:style w:type="paragraph" w:styleId="23">
    <w:name w:val="Normal (Web)"/>
    <w:basedOn w:val="1"/>
    <w:unhideWhenUsed/>
    <w:qFormat/>
    <w:uiPriority w:val="99"/>
    <w:pPr>
      <w:spacing w:before="100" w:beforeAutospacing="1" w:after="100" w:afterAutospacing="1" w:line="240" w:lineRule="auto"/>
    </w:pPr>
    <w:rPr>
      <w:rFonts w:ascii="Times New Roman" w:hAnsi="Times New Roman" w:eastAsia="Times New Roman"/>
      <w:sz w:val="24"/>
      <w:szCs w:val="24"/>
    </w:rPr>
  </w:style>
  <w:style w:type="paragraph" w:styleId="24">
    <w:name w:val="annotation subject"/>
    <w:basedOn w:val="13"/>
    <w:next w:val="13"/>
    <w:link w:val="51"/>
    <w:semiHidden/>
    <w:unhideWhenUsed/>
    <w:qFormat/>
    <w:uiPriority w:val="99"/>
    <w:rPr>
      <w:b/>
      <w:bCs/>
    </w:rPr>
  </w:style>
  <w:style w:type="table" w:styleId="26">
    <w:name w:val="Table Grid"/>
    <w:basedOn w:val="25"/>
    <w:qFormat/>
    <w:uiPriority w:val="39"/>
    <w:pPr>
      <w:overflowPunct w:val="0"/>
      <w:autoSpaceDE w:val="0"/>
      <w:autoSpaceDN w:val="0"/>
      <w:adjustRightInd w:val="0"/>
      <w:spacing w:after="120"/>
      <w:textAlignment w:val="baseline"/>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FollowedHyperlink"/>
    <w:semiHidden/>
    <w:unhideWhenUsed/>
    <w:qFormat/>
    <w:uiPriority w:val="99"/>
    <w:rPr>
      <w:color w:val="800080"/>
      <w:u w:val="single"/>
    </w:rPr>
  </w:style>
  <w:style w:type="character" w:styleId="30">
    <w:name w:val="Hyperlink"/>
    <w:qFormat/>
    <w:uiPriority w:val="0"/>
    <w:rPr>
      <w:color w:val="0000FF"/>
      <w:u w:val="single"/>
    </w:rPr>
  </w:style>
  <w:style w:type="character" w:styleId="31">
    <w:name w:val="annotation reference"/>
    <w:semiHidden/>
    <w:unhideWhenUsed/>
    <w:qFormat/>
    <w:uiPriority w:val="0"/>
    <w:rPr>
      <w:sz w:val="16"/>
      <w:szCs w:val="16"/>
    </w:rPr>
  </w:style>
  <w:style w:type="character" w:styleId="32">
    <w:name w:val="footnote reference"/>
    <w:semiHidden/>
    <w:qFormat/>
    <w:uiPriority w:val="0"/>
    <w:rPr>
      <w:vertAlign w:val="superscript"/>
    </w:rPr>
  </w:style>
  <w:style w:type="paragraph" w:customStyle="1" w:styleId="33">
    <w:name w:val="Doc-title"/>
    <w:basedOn w:val="1"/>
    <w:next w:val="34"/>
    <w:link w:val="35"/>
    <w:qFormat/>
    <w:uiPriority w:val="0"/>
    <w:pPr>
      <w:spacing w:after="0" w:line="240" w:lineRule="auto"/>
      <w:ind w:left="1260" w:hanging="1260"/>
    </w:pPr>
    <w:rPr>
      <w:rFonts w:eastAsia="MS Mincho"/>
      <w:szCs w:val="24"/>
      <w:lang w:val="en-GB" w:eastAsia="en-GB"/>
    </w:rPr>
  </w:style>
  <w:style w:type="paragraph" w:customStyle="1" w:styleId="34">
    <w:name w:val="Doc-text2"/>
    <w:basedOn w:val="1"/>
    <w:link w:val="53"/>
    <w:qFormat/>
    <w:uiPriority w:val="0"/>
    <w:pPr>
      <w:tabs>
        <w:tab w:val="left" w:pos="1622"/>
      </w:tabs>
      <w:spacing w:after="0" w:line="240" w:lineRule="auto"/>
      <w:ind w:left="1622" w:hanging="363"/>
    </w:pPr>
    <w:rPr>
      <w:rFonts w:eastAsia="MS Mincho"/>
      <w:szCs w:val="24"/>
      <w:lang w:val="en-GB" w:eastAsia="en-GB"/>
    </w:rPr>
  </w:style>
  <w:style w:type="character" w:customStyle="1" w:styleId="35">
    <w:name w:val="Doc-title Char"/>
    <w:link w:val="33"/>
    <w:qFormat/>
    <w:uiPriority w:val="0"/>
    <w:rPr>
      <w:rFonts w:ascii="Arial" w:hAnsi="Arial" w:eastAsia="MS Mincho" w:cs="Times New Roman"/>
      <w:sz w:val="20"/>
      <w:szCs w:val="24"/>
      <w:lang w:val="en-GB" w:eastAsia="en-GB"/>
    </w:rPr>
  </w:style>
  <w:style w:type="character" w:customStyle="1" w:styleId="36">
    <w:name w:val="批注框文本 Char"/>
    <w:link w:val="16"/>
    <w:semiHidden/>
    <w:qFormat/>
    <w:uiPriority w:val="99"/>
    <w:rPr>
      <w:rFonts w:ascii="Tahoma" w:hAnsi="Tahoma" w:cs="Tahoma"/>
      <w:sz w:val="16"/>
      <w:szCs w:val="16"/>
    </w:rPr>
  </w:style>
  <w:style w:type="paragraph" w:styleId="37">
    <w:name w:val="List Paragraph"/>
    <w:basedOn w:val="1"/>
    <w:qFormat/>
    <w:uiPriority w:val="34"/>
    <w:pPr>
      <w:ind w:left="720"/>
      <w:contextualSpacing/>
    </w:pPr>
  </w:style>
  <w:style w:type="character" w:customStyle="1" w:styleId="38">
    <w:name w:val="文档结构图 Char"/>
    <w:link w:val="12"/>
    <w:semiHidden/>
    <w:qFormat/>
    <w:uiPriority w:val="99"/>
    <w:rPr>
      <w:rFonts w:ascii="Tahoma" w:hAnsi="Tahoma" w:cs="Tahoma"/>
      <w:sz w:val="16"/>
      <w:szCs w:val="16"/>
    </w:rPr>
  </w:style>
  <w:style w:type="character" w:customStyle="1" w:styleId="39">
    <w:name w:val="标题 1 Char"/>
    <w:link w:val="2"/>
    <w:qFormat/>
    <w:uiPriority w:val="0"/>
    <w:rPr>
      <w:rFonts w:ascii="Arial" w:hAnsi="Arial" w:eastAsia="Times New Roman" w:cs="Arial"/>
      <w:sz w:val="28"/>
      <w:szCs w:val="36"/>
      <w:lang w:val="en-GB" w:eastAsia="zh-CN"/>
    </w:rPr>
  </w:style>
  <w:style w:type="character" w:customStyle="1" w:styleId="40">
    <w:name w:val="标题 2 Char"/>
    <w:link w:val="3"/>
    <w:qFormat/>
    <w:uiPriority w:val="0"/>
    <w:rPr>
      <w:rFonts w:ascii="Arial" w:hAnsi="Arial" w:eastAsia="Times New Roman" w:cs="Arial"/>
      <w:sz w:val="24"/>
      <w:szCs w:val="32"/>
      <w:lang w:val="en-GB" w:eastAsia="zh-CN"/>
    </w:rPr>
  </w:style>
  <w:style w:type="character" w:customStyle="1" w:styleId="41">
    <w:name w:val="标题 3 Char"/>
    <w:link w:val="4"/>
    <w:qFormat/>
    <w:uiPriority w:val="0"/>
    <w:rPr>
      <w:rFonts w:ascii="Arial" w:hAnsi="Arial" w:eastAsia="Times New Roman" w:cs="Arial"/>
      <w:sz w:val="22"/>
      <w:szCs w:val="28"/>
      <w:u w:val="single"/>
      <w:lang w:val="en-GB" w:eastAsia="zh-CN"/>
    </w:rPr>
  </w:style>
  <w:style w:type="character" w:customStyle="1" w:styleId="42">
    <w:name w:val="标题 4 Char"/>
    <w:link w:val="5"/>
    <w:qFormat/>
    <w:uiPriority w:val="0"/>
    <w:rPr>
      <w:rFonts w:ascii="Arial" w:hAnsi="Arial" w:eastAsia="Times New Roman" w:cs="Arial"/>
      <w:sz w:val="24"/>
      <w:szCs w:val="24"/>
      <w:u w:val="single"/>
      <w:lang w:val="en-GB" w:eastAsia="zh-CN"/>
    </w:rPr>
  </w:style>
  <w:style w:type="character" w:customStyle="1" w:styleId="43">
    <w:name w:val="标题 5 Char"/>
    <w:link w:val="6"/>
    <w:qFormat/>
    <w:uiPriority w:val="0"/>
    <w:rPr>
      <w:rFonts w:ascii="Arial" w:hAnsi="Arial" w:eastAsia="Times New Roman" w:cs="Arial"/>
      <w:sz w:val="22"/>
      <w:szCs w:val="22"/>
      <w:u w:val="single"/>
      <w:lang w:val="en-GB" w:eastAsia="zh-CN"/>
    </w:rPr>
  </w:style>
  <w:style w:type="character" w:customStyle="1" w:styleId="44">
    <w:name w:val="标题 6 Char"/>
    <w:link w:val="7"/>
    <w:qFormat/>
    <w:uiPriority w:val="0"/>
    <w:rPr>
      <w:rFonts w:ascii="Arial" w:hAnsi="Arial" w:eastAsia="Times New Roman" w:cs="Arial"/>
      <w:lang w:val="en-GB" w:eastAsia="zh-CN"/>
    </w:rPr>
  </w:style>
  <w:style w:type="character" w:customStyle="1" w:styleId="45">
    <w:name w:val="标题 7 Char"/>
    <w:link w:val="8"/>
    <w:qFormat/>
    <w:uiPriority w:val="0"/>
    <w:rPr>
      <w:rFonts w:ascii="Arial" w:hAnsi="Arial" w:eastAsia="Times New Roman" w:cs="Arial"/>
      <w:lang w:val="en-GB" w:eastAsia="zh-CN"/>
    </w:rPr>
  </w:style>
  <w:style w:type="character" w:customStyle="1" w:styleId="46">
    <w:name w:val="标题 8 Char"/>
    <w:link w:val="9"/>
    <w:qFormat/>
    <w:uiPriority w:val="0"/>
    <w:rPr>
      <w:rFonts w:ascii="Arial" w:hAnsi="Arial" w:eastAsia="Times New Roman" w:cs="Arial"/>
      <w:lang w:val="en-GB" w:eastAsia="zh-CN"/>
    </w:rPr>
  </w:style>
  <w:style w:type="character" w:customStyle="1" w:styleId="47">
    <w:name w:val="标题 9 Char"/>
    <w:link w:val="10"/>
    <w:qFormat/>
    <w:uiPriority w:val="0"/>
    <w:rPr>
      <w:rFonts w:ascii="Arial" w:hAnsi="Arial" w:eastAsia="Times New Roman" w:cs="Arial"/>
      <w:lang w:val="en-GB" w:eastAsia="zh-CN"/>
    </w:rPr>
  </w:style>
  <w:style w:type="paragraph" w:customStyle="1" w:styleId="48">
    <w:name w:val="3GPP_Header"/>
    <w:basedOn w:val="1"/>
    <w:link w:val="49"/>
    <w:qFormat/>
    <w:uiPriority w:val="0"/>
    <w:pPr>
      <w:tabs>
        <w:tab w:val="left" w:pos="1701"/>
        <w:tab w:val="right" w:pos="9639"/>
      </w:tabs>
      <w:overflowPunct w:val="0"/>
      <w:autoSpaceDE w:val="0"/>
      <w:autoSpaceDN w:val="0"/>
      <w:adjustRightInd w:val="0"/>
      <w:spacing w:after="240" w:line="288" w:lineRule="auto"/>
      <w:textAlignment w:val="baseline"/>
    </w:pPr>
    <w:rPr>
      <w:rFonts w:ascii="Times New Roman" w:hAnsi="Times New Roman" w:eastAsia="Times New Roman"/>
      <w:b/>
      <w:sz w:val="24"/>
      <w:szCs w:val="20"/>
      <w:lang w:val="en-GB" w:eastAsia="zh-CN"/>
    </w:rPr>
  </w:style>
  <w:style w:type="character" w:customStyle="1" w:styleId="49">
    <w:name w:val="3GPP_Header Char"/>
    <w:link w:val="48"/>
    <w:qFormat/>
    <w:uiPriority w:val="0"/>
    <w:rPr>
      <w:rFonts w:ascii="Times New Roman" w:hAnsi="Times New Roman" w:eastAsia="Times New Roman" w:cs="Times New Roman"/>
      <w:b/>
      <w:sz w:val="24"/>
      <w:szCs w:val="20"/>
      <w:lang w:val="en-GB" w:eastAsia="zh-CN"/>
    </w:rPr>
  </w:style>
  <w:style w:type="character" w:customStyle="1" w:styleId="50">
    <w:name w:val="批注文字 Char"/>
    <w:basedOn w:val="27"/>
    <w:link w:val="13"/>
    <w:qFormat/>
    <w:uiPriority w:val="99"/>
  </w:style>
  <w:style w:type="character" w:customStyle="1" w:styleId="51">
    <w:name w:val="批注主题 Char"/>
    <w:link w:val="24"/>
    <w:semiHidden/>
    <w:qFormat/>
    <w:uiPriority w:val="99"/>
    <w:rPr>
      <w:b/>
      <w:bCs/>
    </w:rPr>
  </w:style>
  <w:style w:type="paragraph" w:customStyle="1" w:styleId="52">
    <w:name w:val="修订1"/>
    <w:hidden/>
    <w:semiHidden/>
    <w:qFormat/>
    <w:uiPriority w:val="99"/>
    <w:rPr>
      <w:rFonts w:ascii="Calibri" w:hAnsi="Calibri" w:eastAsia="Malgun Gothic" w:cs="Times New Roman"/>
      <w:sz w:val="22"/>
      <w:szCs w:val="22"/>
      <w:lang w:val="en-US" w:eastAsia="en-US" w:bidi="ar-SA"/>
    </w:rPr>
  </w:style>
  <w:style w:type="character" w:customStyle="1" w:styleId="53">
    <w:name w:val="Doc-text2 Char"/>
    <w:link w:val="34"/>
    <w:qFormat/>
    <w:uiPriority w:val="0"/>
    <w:rPr>
      <w:rFonts w:ascii="Arial" w:hAnsi="Arial" w:eastAsia="MS Mincho"/>
      <w:szCs w:val="24"/>
      <w:lang w:val="en-GB" w:eastAsia="en-GB" w:bidi="ar-SA"/>
    </w:rPr>
  </w:style>
  <w:style w:type="character" w:customStyle="1" w:styleId="54">
    <w:name w:val="msoins"/>
    <w:basedOn w:val="27"/>
    <w:qFormat/>
    <w:uiPriority w:val="0"/>
  </w:style>
  <w:style w:type="paragraph" w:customStyle="1" w:styleId="55">
    <w:name w:val="NO"/>
    <w:basedOn w:val="1"/>
    <w:link w:val="60"/>
    <w:qFormat/>
    <w:uiPriority w:val="0"/>
    <w:pPr>
      <w:keepLines/>
      <w:spacing w:after="180" w:line="240" w:lineRule="auto"/>
      <w:ind w:left="1135" w:hanging="851"/>
    </w:pPr>
    <w:rPr>
      <w:rFonts w:ascii="Times New Roman" w:hAnsi="Times New Roman" w:eastAsia="Times New Roman"/>
      <w:szCs w:val="20"/>
      <w:lang w:val="en-GB"/>
    </w:rPr>
  </w:style>
  <w:style w:type="paragraph" w:customStyle="1" w:styleId="56">
    <w:name w:val="B1"/>
    <w:basedOn w:val="20"/>
    <w:link w:val="57"/>
    <w:qFormat/>
    <w:uiPriority w:val="0"/>
    <w:pPr>
      <w:overflowPunct w:val="0"/>
      <w:autoSpaceDE w:val="0"/>
      <w:autoSpaceDN w:val="0"/>
      <w:adjustRightInd w:val="0"/>
      <w:spacing w:after="180" w:line="240" w:lineRule="auto"/>
      <w:ind w:left="568" w:hanging="284"/>
      <w:textAlignment w:val="baseline"/>
    </w:pPr>
    <w:rPr>
      <w:rFonts w:ascii="Times New Roman" w:hAnsi="Times New Roman" w:eastAsia="Times New Roman"/>
      <w:szCs w:val="20"/>
      <w:lang w:val="en-GB"/>
    </w:rPr>
  </w:style>
  <w:style w:type="character" w:customStyle="1" w:styleId="57">
    <w:name w:val="B1 Char"/>
    <w:link w:val="56"/>
    <w:qFormat/>
    <w:uiPriority w:val="0"/>
    <w:rPr>
      <w:lang w:val="en-GB" w:eastAsia="en-US" w:bidi="ar-SA"/>
    </w:rPr>
  </w:style>
  <w:style w:type="paragraph" w:customStyle="1" w:styleId="58">
    <w:name w:val="PL"/>
    <w:link w:val="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59">
    <w:name w:val="PL Char"/>
    <w:link w:val="58"/>
    <w:qFormat/>
    <w:uiPriority w:val="0"/>
    <w:rPr>
      <w:rFonts w:ascii="Courier New" w:hAnsi="Courier New" w:eastAsia="Times New Roman"/>
      <w:sz w:val="16"/>
      <w:lang w:val="en-GB" w:eastAsia="ja-JP" w:bidi="ar-SA"/>
    </w:rPr>
  </w:style>
  <w:style w:type="character" w:customStyle="1" w:styleId="60">
    <w:name w:val="NO Char"/>
    <w:link w:val="55"/>
    <w:qFormat/>
    <w:uiPriority w:val="0"/>
    <w:rPr>
      <w:rFonts w:ascii="Times New Roman" w:hAnsi="Times New Roman" w:eastAsia="Times New Roman"/>
      <w:lang w:val="en-GB"/>
    </w:rPr>
  </w:style>
  <w:style w:type="paragraph" w:customStyle="1" w:styleId="61">
    <w:name w:val="TAL"/>
    <w:basedOn w:val="1"/>
    <w:link w:val="62"/>
    <w:qFormat/>
    <w:uiPriority w:val="0"/>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62">
    <w:name w:val="TAL Car"/>
    <w:link w:val="61"/>
    <w:qFormat/>
    <w:uiPriority w:val="0"/>
    <w:rPr>
      <w:rFonts w:ascii="Arial" w:hAnsi="Arial" w:eastAsia="Times New Roman"/>
      <w:sz w:val="18"/>
      <w:lang w:val="en-GB" w:eastAsia="ja-JP"/>
    </w:rPr>
  </w:style>
  <w:style w:type="paragraph" w:customStyle="1" w:styleId="63">
    <w:name w:val="TAL Char Char"/>
    <w:basedOn w:val="1"/>
    <w:link w:val="64"/>
    <w:qFormat/>
    <w:uiPriority w:val="0"/>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64">
    <w:name w:val="TAL Char Char Char"/>
    <w:link w:val="63"/>
    <w:qFormat/>
    <w:uiPriority w:val="0"/>
    <w:rPr>
      <w:rFonts w:ascii="Arial" w:hAnsi="Arial" w:eastAsia="Times New Roman"/>
      <w:sz w:val="18"/>
      <w:lang w:val="en-GB" w:eastAsia="ja-JP"/>
    </w:rPr>
  </w:style>
  <w:style w:type="paragraph" w:customStyle="1" w:styleId="65">
    <w:name w:val="TAH"/>
    <w:basedOn w:val="1"/>
    <w:link w:val="68"/>
    <w:qFormat/>
    <w:uiPriority w:val="0"/>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66">
    <w:name w:val="TAN"/>
    <w:basedOn w:val="61"/>
    <w:link w:val="67"/>
    <w:qFormat/>
    <w:uiPriority w:val="0"/>
    <w:pPr>
      <w:ind w:left="851" w:hanging="851"/>
    </w:pPr>
  </w:style>
  <w:style w:type="character" w:customStyle="1" w:styleId="67">
    <w:name w:val="TAN Char"/>
    <w:basedOn w:val="62"/>
    <w:link w:val="66"/>
    <w:qFormat/>
    <w:uiPriority w:val="0"/>
    <w:rPr>
      <w:rFonts w:ascii="Arial" w:hAnsi="Arial" w:eastAsia="Times New Roman"/>
      <w:sz w:val="18"/>
      <w:lang w:val="en-GB" w:eastAsia="ja-JP"/>
    </w:rPr>
  </w:style>
  <w:style w:type="character" w:customStyle="1" w:styleId="68">
    <w:name w:val="TAH Car"/>
    <w:link w:val="65"/>
    <w:qFormat/>
    <w:uiPriority w:val="0"/>
    <w:rPr>
      <w:rFonts w:ascii="Arial" w:hAnsi="Arial" w:eastAsia="Times New Roman"/>
      <w:b/>
      <w:sz w:val="18"/>
      <w:lang w:val="en-GB" w:eastAsia="ja-JP"/>
    </w:rPr>
  </w:style>
  <w:style w:type="paragraph" w:customStyle="1" w:styleId="69">
    <w:name w:val="IvD Instructiontext"/>
    <w:basedOn w:val="14"/>
    <w:link w:val="70"/>
    <w:qFormat/>
    <w:uiPriority w:val="9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70">
    <w:name w:val="IvD Instructiontext Char"/>
    <w:link w:val="69"/>
    <w:qFormat/>
    <w:uiPriority w:val="99"/>
    <w:rPr>
      <w:rFonts w:ascii="Arial" w:hAnsi="Arial" w:eastAsia="Times New Roman"/>
      <w:i/>
      <w:color w:val="7F7F7F"/>
      <w:spacing w:val="2"/>
      <w:sz w:val="18"/>
      <w:szCs w:val="18"/>
    </w:rPr>
  </w:style>
  <w:style w:type="paragraph" w:customStyle="1" w:styleId="71">
    <w:name w:val="IvD bodytext"/>
    <w:basedOn w:val="14"/>
    <w:link w:val="72"/>
    <w:qFormat/>
    <w:uiPriority w:val="0"/>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72">
    <w:name w:val="IvD bodytext Char"/>
    <w:link w:val="71"/>
    <w:qFormat/>
    <w:uiPriority w:val="0"/>
    <w:rPr>
      <w:rFonts w:ascii="Arial" w:hAnsi="Arial" w:eastAsia="Times New Roman"/>
      <w:spacing w:val="2"/>
    </w:rPr>
  </w:style>
  <w:style w:type="character" w:customStyle="1" w:styleId="73">
    <w:name w:val="正文文本 Char"/>
    <w:link w:val="14"/>
    <w:qFormat/>
    <w:uiPriority w:val="99"/>
    <w:rPr>
      <w:rFonts w:ascii="Arial" w:hAnsi="Arial"/>
      <w:szCs w:val="22"/>
    </w:rPr>
  </w:style>
  <w:style w:type="character" w:customStyle="1" w:styleId="74">
    <w:name w:val="@他1"/>
    <w:semiHidden/>
    <w:unhideWhenUsed/>
    <w:qFormat/>
    <w:uiPriority w:val="99"/>
    <w:rPr>
      <w:color w:val="2B579A"/>
      <w:shd w:val="clear" w:color="auto" w:fill="E6E6E6"/>
    </w:rPr>
  </w:style>
  <w:style w:type="character" w:customStyle="1" w:styleId="75">
    <w:name w:val="未处理的提及1"/>
    <w:semiHidden/>
    <w:unhideWhenUsed/>
    <w:qFormat/>
    <w:uiPriority w:val="99"/>
    <w:rPr>
      <w:color w:val="808080"/>
      <w:shd w:val="clear" w:color="auto" w:fill="E6E6E6"/>
    </w:rPr>
  </w:style>
  <w:style w:type="paragraph" w:customStyle="1" w:styleId="76">
    <w:name w:val="Agreement"/>
    <w:basedOn w:val="1"/>
    <w:next w:val="34"/>
    <w:qFormat/>
    <w:uiPriority w:val="99"/>
    <w:pPr>
      <w:numPr>
        <w:ilvl w:val="0"/>
        <w:numId w:val="2"/>
      </w:numPr>
      <w:spacing w:before="60" w:after="0" w:line="240" w:lineRule="auto"/>
    </w:pPr>
    <w:rPr>
      <w:rFonts w:eastAsia="MS Mincho"/>
      <w:b/>
      <w:szCs w:val="24"/>
      <w:lang w:val="en-GB" w:eastAsia="en-GB"/>
    </w:rPr>
  </w:style>
  <w:style w:type="character" w:customStyle="1" w:styleId="77">
    <w:name w:val="B2 Char"/>
    <w:link w:val="78"/>
    <w:qFormat/>
    <w:locked/>
    <w:uiPriority w:val="0"/>
    <w:rPr>
      <w:rFonts w:ascii="Times New Roman" w:hAnsi="Times New Roman" w:eastAsia="Times New Roman"/>
      <w:lang w:val="en-GB"/>
    </w:rPr>
  </w:style>
  <w:style w:type="paragraph" w:customStyle="1" w:styleId="78">
    <w:name w:val="B2"/>
    <w:basedOn w:val="15"/>
    <w:link w:val="77"/>
    <w:qFormat/>
    <w:uiPriority w:val="0"/>
    <w:pPr>
      <w:overflowPunct w:val="0"/>
      <w:autoSpaceDE w:val="0"/>
      <w:autoSpaceDN w:val="0"/>
      <w:adjustRightInd w:val="0"/>
      <w:spacing w:after="180" w:line="240" w:lineRule="auto"/>
      <w:ind w:left="851" w:leftChars="0" w:hanging="284" w:firstLineChars="0"/>
      <w:contextualSpacing w:val="0"/>
    </w:pPr>
    <w:rPr>
      <w:rFonts w:ascii="Times New Roman" w:hAnsi="Times New Roman" w:eastAsia="Times New Roman"/>
      <w:szCs w:val="20"/>
      <w:lang w:val="en-GB" w:eastAsia="ja-JP"/>
    </w:rPr>
  </w:style>
  <w:style w:type="character" w:customStyle="1" w:styleId="79">
    <w:name w:val="B3 Char2"/>
    <w:link w:val="80"/>
    <w:qFormat/>
    <w:locked/>
    <w:uiPriority w:val="0"/>
    <w:rPr>
      <w:rFonts w:ascii="Times New Roman" w:hAnsi="Times New Roman" w:eastAsia="Times New Roman"/>
      <w:lang w:val="en-GB"/>
    </w:rPr>
  </w:style>
  <w:style w:type="paragraph" w:customStyle="1" w:styleId="80">
    <w:name w:val="B3"/>
    <w:basedOn w:val="11"/>
    <w:link w:val="79"/>
    <w:qFormat/>
    <w:uiPriority w:val="0"/>
    <w:pPr>
      <w:overflowPunct w:val="0"/>
      <w:autoSpaceDE w:val="0"/>
      <w:autoSpaceDN w:val="0"/>
      <w:adjustRightInd w:val="0"/>
      <w:spacing w:after="180" w:line="240" w:lineRule="auto"/>
      <w:ind w:left="1135" w:leftChars="0" w:hanging="284" w:firstLineChars="0"/>
      <w:contextualSpacing w:val="0"/>
    </w:pPr>
    <w:rPr>
      <w:rFonts w:ascii="Times New Roman" w:hAnsi="Times New Roman" w:eastAsia="Times New Roman"/>
      <w:szCs w:val="20"/>
      <w:lang w:val="en-GB" w:eastAsia="ja-JP"/>
    </w:rPr>
  </w:style>
  <w:style w:type="character" w:customStyle="1" w:styleId="81">
    <w:name w:val="TH Char"/>
    <w:link w:val="82"/>
    <w:qFormat/>
    <w:locked/>
    <w:uiPriority w:val="0"/>
    <w:rPr>
      <w:rFonts w:ascii="Arial" w:hAnsi="Arial" w:eastAsia="Times New Roman" w:cs="Arial"/>
      <w:b/>
      <w:lang w:val="en-GB"/>
    </w:rPr>
  </w:style>
  <w:style w:type="paragraph" w:customStyle="1" w:styleId="82">
    <w:name w:val="TH"/>
    <w:basedOn w:val="1"/>
    <w:link w:val="81"/>
    <w:qFormat/>
    <w:uiPriority w:val="0"/>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paragraph" w:customStyle="1" w:styleId="83">
    <w:name w:val="agreement"/>
    <w:basedOn w:val="1"/>
    <w:qFormat/>
    <w:uiPriority w:val="0"/>
    <w:pPr>
      <w:spacing w:before="100" w:beforeAutospacing="1" w:after="100" w:afterAutospacing="1" w:line="240" w:lineRule="auto"/>
    </w:pPr>
    <w:rPr>
      <w:rFonts w:ascii="宋体" w:hAnsi="宋体" w:eastAsia="宋体" w:cs="宋体"/>
      <w:sz w:val="24"/>
      <w:szCs w:val="24"/>
      <w:lang w:eastAsia="zh-CN"/>
    </w:rPr>
  </w:style>
  <w:style w:type="character" w:customStyle="1" w:styleId="84">
    <w:name w:val="15"/>
    <w:qFormat/>
    <w:uiPriority w:val="0"/>
    <w:rPr>
      <w:rFonts w:hint="default" w:ascii="CG Times (WN)" w:hAnsi="CG Times (WN)"/>
      <w:color w:val="0000FF"/>
      <w:u w:val="single"/>
    </w:rPr>
  </w:style>
  <w:style w:type="paragraph" w:customStyle="1" w:styleId="85">
    <w:name w:val="Comments"/>
    <w:basedOn w:val="1"/>
    <w:qFormat/>
    <w:uiPriority w:val="0"/>
    <w:rPr>
      <w:i/>
      <w:sz w:val="18"/>
    </w:rPr>
  </w:style>
  <w:style w:type="character" w:customStyle="1" w:styleId="86">
    <w:name w:val="normaltextrun"/>
    <w:basedOn w:val="27"/>
    <w:qFormat/>
    <w:uiPriority w:val="0"/>
  </w:style>
  <w:style w:type="paragraph" w:customStyle="1" w:styleId="87">
    <w:name w:val="Doc-comment"/>
    <w:basedOn w:val="1"/>
    <w:next w:val="34"/>
    <w:qFormat/>
    <w:uiPriority w:val="0"/>
    <w:pPr>
      <w:tabs>
        <w:tab w:val="left" w:pos="1622"/>
      </w:tabs>
      <w:overflowPunct/>
      <w:autoSpaceDE/>
      <w:autoSpaceDN/>
      <w:adjustRightInd/>
      <w:spacing w:after="0"/>
      <w:ind w:left="1622" w:hanging="363"/>
      <w:textAlignment w:val="auto"/>
    </w:pPr>
    <w:rPr>
      <w:rFonts w:ascii="Arial" w:hAnsi="Arial" w:eastAsia="MS Mincho"/>
      <w:i/>
      <w:szCs w:val="24"/>
    </w:rPr>
  </w:style>
  <w:style w:type="character" w:customStyle="1" w:styleId="88">
    <w:name w:val="cf01"/>
    <w:basedOn w:val="27"/>
    <w:qFormat/>
    <w:uiPriority w:val="0"/>
    <w:rPr>
      <w:rFonts w:hint="default" w:ascii="Segoe UI" w:hAnsi="Segoe UI" w:cs="Segoe UI"/>
      <w:sz w:val="18"/>
      <w:szCs w:val="18"/>
    </w:rPr>
  </w:style>
  <w:style w:type="character" w:customStyle="1" w:styleId="89">
    <w:name w:val="ui-provider"/>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B0922-F18E-4479-9F11-342CD588E03B}">
  <ds:schemaRefs/>
</ds:datastoreItem>
</file>

<file path=customXml/itemProps2.xml><?xml version="1.0" encoding="utf-8"?>
<ds:datastoreItem xmlns:ds="http://schemas.openxmlformats.org/officeDocument/2006/customXml" ds:itemID="{402A4B22-38A0-4123-8C36-006412DDB52E}">
  <ds:schemaRefs/>
</ds:datastoreItem>
</file>

<file path=customXml/itemProps3.xml><?xml version="1.0" encoding="utf-8"?>
<ds:datastoreItem xmlns:ds="http://schemas.openxmlformats.org/officeDocument/2006/customXml" ds:itemID="{42ED2EE7-633F-463F-8DA8-5926A076AD80}">
  <ds:schemaRefs/>
</ds:datastoreItem>
</file>

<file path=customXml/itemProps4.xml><?xml version="1.0" encoding="utf-8"?>
<ds:datastoreItem xmlns:ds="http://schemas.openxmlformats.org/officeDocument/2006/customXml" ds:itemID="{90BA2679-B654-4FF9-916E-9EB0EF7CA174}">
  <ds:schemaRefs/>
</ds:datastoreItem>
</file>

<file path=customXml/itemProps5.xml><?xml version="1.0" encoding="utf-8"?>
<ds:datastoreItem xmlns:ds="http://schemas.openxmlformats.org/officeDocument/2006/customXml" ds:itemID="{EBC19ABF-592F-4101-9946-6D533CB9053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3</Pages>
  <Words>944</Words>
  <Characters>5381</Characters>
  <Lines>44</Lines>
  <Paragraphs>12</Paragraphs>
  <TotalTime>2</TotalTime>
  <ScaleCrop>false</ScaleCrop>
  <LinksUpToDate>false</LinksUpToDate>
  <CharactersWithSpaces>6313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2022-01-07T07:59:00Z</dcterms:created>
  <dc:creator>cecilia.eklof@ericsson.com</dc:creator>
  <cp:lastModifiedBy>China Unicom-Tingting Liang</cp:lastModifiedBy>
  <cp:lastPrinted>2017-06-13T15:21:00Z</cp:lastPrinted>
  <dcterms:modified xsi:type="dcterms:W3CDTF">2023-11-03T09:36:34Z</dcterms:modified>
  <cp:revision>415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2052-11.8.2.12085</vt:lpwstr>
  </property>
  <property fmtid="{D5CDD505-2E9C-101B-9397-08002B2CF9AE}" pid="27" name="ICV">
    <vt:lpwstr>7056442743F541E8B6299DDDFBBFFC60</vt:lpwstr>
  </property>
</Properties>
</file>